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F78FB" w14:textId="77777777" w:rsidR="00D24759" w:rsidRPr="00F741BB" w:rsidRDefault="00D24759" w:rsidP="00D24759">
      <w:pPr>
        <w:jc w:val="center"/>
        <w:rPr>
          <w:b/>
          <w:bCs/>
          <w:u w:val="single"/>
        </w:rPr>
      </w:pPr>
      <w:r>
        <w:rPr>
          <w:noProof/>
        </w:rPr>
        <w:drawing>
          <wp:anchor distT="0" distB="0" distL="114300" distR="114300" simplePos="0" relativeHeight="251660288" behindDoc="1" locked="0" layoutInCell="1" allowOverlap="1" wp14:anchorId="39C127AD" wp14:editId="18D84A8E">
            <wp:simplePos x="0" y="0"/>
            <wp:positionH relativeFrom="column">
              <wp:posOffset>4342765</wp:posOffset>
            </wp:positionH>
            <wp:positionV relativeFrom="paragraph">
              <wp:posOffset>-238125</wp:posOffset>
            </wp:positionV>
            <wp:extent cx="981075" cy="981075"/>
            <wp:effectExtent l="0" t="0" r="0" b="0"/>
            <wp:wrapTight wrapText="bothSides">
              <wp:wrapPolygon edited="0">
                <wp:start x="7550" y="0"/>
                <wp:lineTo x="4614" y="839"/>
                <wp:lineTo x="0" y="5033"/>
                <wp:lineTo x="0" y="14680"/>
                <wp:lineTo x="3355" y="20132"/>
                <wp:lineTo x="7130" y="21390"/>
                <wp:lineTo x="7550" y="21390"/>
                <wp:lineTo x="13841" y="21390"/>
                <wp:lineTo x="14260" y="21390"/>
                <wp:lineTo x="17196" y="20132"/>
                <wp:lineTo x="21390" y="15938"/>
                <wp:lineTo x="21390" y="5033"/>
                <wp:lineTo x="16777" y="839"/>
                <wp:lineTo x="13841" y="0"/>
                <wp:lineTo x="7550" y="0"/>
              </wp:wrapPolygon>
            </wp:wrapTight>
            <wp:docPr id="415231590" name="Picture 1" descr="Seal of the Department of Housing and Urban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231590" name="Picture 1" descr="Seal of the Department of Housing and Urban Develop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4278DC9D" wp14:editId="1C95275E">
            <wp:simplePos x="0" y="0"/>
            <wp:positionH relativeFrom="column">
              <wp:posOffset>0</wp:posOffset>
            </wp:positionH>
            <wp:positionV relativeFrom="paragraph">
              <wp:posOffset>-247650</wp:posOffset>
            </wp:positionV>
            <wp:extent cx="981075" cy="981075"/>
            <wp:effectExtent l="0" t="0" r="0" b="0"/>
            <wp:wrapTight wrapText="bothSides">
              <wp:wrapPolygon edited="0">
                <wp:start x="7550" y="0"/>
                <wp:lineTo x="4614" y="839"/>
                <wp:lineTo x="0" y="5033"/>
                <wp:lineTo x="0" y="14680"/>
                <wp:lineTo x="3355" y="20132"/>
                <wp:lineTo x="7130" y="21390"/>
                <wp:lineTo x="7550" y="21390"/>
                <wp:lineTo x="13841" y="21390"/>
                <wp:lineTo x="14260" y="21390"/>
                <wp:lineTo x="17196" y="20132"/>
                <wp:lineTo x="21390" y="15938"/>
                <wp:lineTo x="21390" y="5033"/>
                <wp:lineTo x="16777" y="839"/>
                <wp:lineTo x="13841" y="0"/>
                <wp:lineTo x="7550" y="0"/>
              </wp:wrapPolygon>
            </wp:wrapTight>
            <wp:docPr id="542037626" name="Picture 1" descr="Seal of the Department of Housing and Urban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037626" name="Picture 1" descr="Seal of the Department of Housing and Urban Develop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u w:val="single"/>
        </w:rPr>
        <w:t>FAQs on</w:t>
      </w:r>
      <w:r>
        <w:rPr>
          <w:b/>
          <w:bCs/>
          <w:sz w:val="28"/>
          <w:szCs w:val="28"/>
          <w:u w:val="single"/>
        </w:rPr>
        <w:t xml:space="preserve"> FY24 Income Limit Cap-on-Cap</w:t>
      </w:r>
    </w:p>
    <w:p w14:paraId="18A0C74D" w14:textId="77777777" w:rsidR="00D24759" w:rsidRDefault="00D24759" w:rsidP="008620D8">
      <w:pPr>
        <w:rPr>
          <w:b/>
          <w:bCs/>
          <w:sz w:val="24"/>
          <w:szCs w:val="24"/>
        </w:rPr>
      </w:pPr>
    </w:p>
    <w:p w14:paraId="0D721D57" w14:textId="77777777" w:rsidR="00D24759" w:rsidRDefault="00D24759" w:rsidP="008620D8">
      <w:pPr>
        <w:rPr>
          <w:b/>
          <w:bCs/>
          <w:sz w:val="24"/>
          <w:szCs w:val="24"/>
        </w:rPr>
      </w:pPr>
    </w:p>
    <w:p w14:paraId="07921633" w14:textId="6B0A83E0" w:rsidR="008620D8" w:rsidRDefault="008620D8" w:rsidP="008620D8">
      <w:r w:rsidRPr="008620D8">
        <w:rPr>
          <w:b/>
          <w:bCs/>
          <w:sz w:val="24"/>
          <w:szCs w:val="24"/>
        </w:rPr>
        <w:t>What are Income Limits?</w:t>
      </w:r>
      <w:r w:rsidRPr="008620D8">
        <w:t xml:space="preserve"> </w:t>
      </w:r>
    </w:p>
    <w:p w14:paraId="0EBE87BF" w14:textId="2F440BFC" w:rsidR="008620D8" w:rsidRPr="008620D8" w:rsidRDefault="0090648F" w:rsidP="001D3DEB">
      <w:pPr>
        <w:ind w:left="360"/>
      </w:pPr>
      <w:r w:rsidRPr="00D9738C">
        <w:t>Every year, HUD publishes annual income limits, which are used primarily to determine the income eligibility of applicants for HUD housing assistance programs and are based on data from the American Community Survey and other sources.</w:t>
      </w:r>
      <w:r w:rsidR="001D3DEB">
        <w:t xml:space="preserve"> </w:t>
      </w:r>
      <w:r w:rsidR="008620D8" w:rsidRPr="008620D8">
        <w:t xml:space="preserve">The income limit for federal affordable housing programs is the maximum income a household can earn to qualify or be targeted for assistance. </w:t>
      </w:r>
    </w:p>
    <w:p w14:paraId="3E6A588B" w14:textId="1ADE62DB" w:rsidR="008620D8" w:rsidRPr="008620D8" w:rsidRDefault="008620D8" w:rsidP="00892F36">
      <w:pPr>
        <w:pStyle w:val="ListParagraph"/>
        <w:numPr>
          <w:ilvl w:val="0"/>
          <w:numId w:val="2"/>
        </w:numPr>
        <w:contextualSpacing w:val="0"/>
      </w:pPr>
      <w:r w:rsidRPr="008620D8">
        <w:rPr>
          <w:b/>
          <w:bCs/>
        </w:rPr>
        <w:t>Income Limit methodology.</w:t>
      </w:r>
      <w:r w:rsidRPr="008620D8">
        <w:t xml:space="preserve">  Income limits are based on a percent of median family income for an area and </w:t>
      </w:r>
      <w:r w:rsidR="003C505A">
        <w:t>are</w:t>
      </w:r>
      <w:r w:rsidR="003C505A" w:rsidRPr="008620D8">
        <w:t xml:space="preserve"> </w:t>
      </w:r>
      <w:r w:rsidRPr="008620D8">
        <w:t xml:space="preserve">adjusted based on how many people live in the household (including children). More information on how income limits are calculated is available </w:t>
      </w:r>
      <w:hyperlink r:id="rId9">
        <w:r w:rsidRPr="008620D8">
          <w:rPr>
            <w:rStyle w:val="Hyperlink"/>
          </w:rPr>
          <w:t>here</w:t>
        </w:r>
      </w:hyperlink>
      <w:r w:rsidRPr="008620D8">
        <w:t>.</w:t>
      </w:r>
    </w:p>
    <w:p w14:paraId="5344C380" w14:textId="0C3E7BEA" w:rsidR="008620D8" w:rsidRDefault="008620D8" w:rsidP="00892F36">
      <w:pPr>
        <w:pStyle w:val="ListParagraph"/>
        <w:numPr>
          <w:ilvl w:val="0"/>
          <w:numId w:val="2"/>
        </w:numPr>
        <w:contextualSpacing w:val="0"/>
      </w:pPr>
      <w:r w:rsidRPr="008620D8">
        <w:rPr>
          <w:b/>
          <w:bCs/>
        </w:rPr>
        <w:t>Income Limit use for setting rents.</w:t>
      </w:r>
      <w:r w:rsidRPr="008620D8">
        <w:t xml:space="preserve"> In addition to being used to determine eligibility for federal rental housing programs, income limits are also used to determine the maximum rents allowed for the HOME and Low-Income Housing Tax Credit (LIHTC) </w:t>
      </w:r>
      <w:r w:rsidR="00827E18">
        <w:t>incentive</w:t>
      </w:r>
      <w:r w:rsidRPr="008620D8">
        <w:t xml:space="preserve">. More information on “Multifamily Tax Subsidy Projects” limits is available </w:t>
      </w:r>
      <w:hyperlink r:id="rId10">
        <w:r w:rsidRPr="008620D8">
          <w:rPr>
            <w:rStyle w:val="Hyperlink"/>
          </w:rPr>
          <w:t>here</w:t>
        </w:r>
      </w:hyperlink>
      <w:r w:rsidRPr="008620D8">
        <w:t>.</w:t>
      </w:r>
    </w:p>
    <w:p w14:paraId="11D227EF" w14:textId="77777777" w:rsidR="00D9738C" w:rsidRPr="00D9738C" w:rsidRDefault="00DD0673" w:rsidP="00D9738C">
      <w:pPr>
        <w:rPr>
          <w:sz w:val="24"/>
          <w:szCs w:val="24"/>
        </w:rPr>
      </w:pPr>
      <w:r w:rsidRPr="4F3C773B">
        <w:rPr>
          <w:b/>
          <w:bCs/>
          <w:sz w:val="24"/>
          <w:szCs w:val="24"/>
        </w:rPr>
        <w:t>What is new for</w:t>
      </w:r>
      <w:r w:rsidR="00BB01F4" w:rsidRPr="4F3C773B">
        <w:rPr>
          <w:b/>
          <w:bCs/>
          <w:sz w:val="24"/>
          <w:szCs w:val="24"/>
        </w:rPr>
        <w:t xml:space="preserve"> the income limit methodology in</w:t>
      </w:r>
      <w:r w:rsidRPr="4F3C773B">
        <w:rPr>
          <w:b/>
          <w:bCs/>
          <w:sz w:val="24"/>
          <w:szCs w:val="24"/>
        </w:rPr>
        <w:t xml:space="preserve"> 2024?</w:t>
      </w:r>
      <w:r w:rsidRPr="4F3C773B">
        <w:rPr>
          <w:sz w:val="24"/>
          <w:szCs w:val="24"/>
        </w:rPr>
        <w:t xml:space="preserve"> </w:t>
      </w:r>
    </w:p>
    <w:p w14:paraId="0382BDBD" w14:textId="5348795F" w:rsidR="00DD0673" w:rsidRDefault="00DD0673" w:rsidP="001D3DEB">
      <w:pPr>
        <w:ind w:left="360"/>
      </w:pPr>
      <w:r>
        <w:t xml:space="preserve">We are making </w:t>
      </w:r>
      <w:r w:rsidR="00E0194B">
        <w:t xml:space="preserve">a modification </w:t>
      </w:r>
      <w:r>
        <w:t xml:space="preserve">to the </w:t>
      </w:r>
      <w:r w:rsidR="00EE4E09">
        <w:t>methodology</w:t>
      </w:r>
      <w:r w:rsidR="00E0194B">
        <w:t xml:space="preserve"> </w:t>
      </w:r>
      <w:r w:rsidR="00332FA5">
        <w:t>for determining the</w:t>
      </w:r>
      <w:r w:rsidR="00E0194B">
        <w:t xml:space="preserve"> </w:t>
      </w:r>
      <w:r>
        <w:t xml:space="preserve">cap on how much income limits can go up in </w:t>
      </w:r>
      <w:r w:rsidR="000858BA">
        <w:t xml:space="preserve">a </w:t>
      </w:r>
      <w:r w:rsidR="00B322A2">
        <w:t xml:space="preserve">single </w:t>
      </w:r>
      <w:r w:rsidR="000858BA">
        <w:t>year in</w:t>
      </w:r>
      <w:r>
        <w:t xml:space="preserve"> any individual </w:t>
      </w:r>
      <w:r w:rsidR="00CD7CDD">
        <w:t>Fair Market Rent (</w:t>
      </w:r>
      <w:r>
        <w:t>FMR</w:t>
      </w:r>
      <w:r w:rsidR="00CD7CDD">
        <w:t>)</w:t>
      </w:r>
      <w:r>
        <w:t xml:space="preserve"> area</w:t>
      </w:r>
      <w:r w:rsidR="00CD7CDD">
        <w:t xml:space="preserve"> (FMR areas are generally metropolitan areas and non-metropolitan counties)</w:t>
      </w:r>
      <w:r>
        <w:t>.</w:t>
      </w:r>
    </w:p>
    <w:p w14:paraId="6BE962F8" w14:textId="007F5B57" w:rsidR="00F741BB" w:rsidRDefault="00CD7CDD">
      <w:pPr>
        <w:pStyle w:val="ListParagraph"/>
        <w:numPr>
          <w:ilvl w:val="0"/>
          <w:numId w:val="2"/>
        </w:numPr>
        <w:contextualSpacing w:val="0"/>
      </w:pPr>
      <w:r w:rsidRPr="00CD7CDD">
        <w:rPr>
          <w:b/>
          <w:bCs/>
        </w:rPr>
        <w:t>Existing cap.</w:t>
      </w:r>
      <w:r>
        <w:t xml:space="preserve"> </w:t>
      </w:r>
      <w:r w:rsidR="00A972A7" w:rsidRPr="00A972A7">
        <w:t xml:space="preserve">Since </w:t>
      </w:r>
      <w:r w:rsidR="00D81905">
        <w:t>2009</w:t>
      </w:r>
      <w:r w:rsidR="00DD0673">
        <w:t xml:space="preserve">, HUD has </w:t>
      </w:r>
      <w:r w:rsidR="00A972A7" w:rsidRPr="00A972A7">
        <w:t>limited</w:t>
      </w:r>
      <w:r w:rsidR="00DD0673">
        <w:t xml:space="preserve"> the </w:t>
      </w:r>
      <w:r w:rsidR="00AB4E90">
        <w:t xml:space="preserve">year-to-year </w:t>
      </w:r>
      <w:r w:rsidR="00A972A7" w:rsidRPr="00A972A7">
        <w:t>increase in income limits as the higher</w:t>
      </w:r>
      <w:r w:rsidR="00DD0673">
        <w:t xml:space="preserve"> of </w:t>
      </w:r>
      <w:r w:rsidR="00A972A7" w:rsidRPr="00A972A7">
        <w:t>five percent</w:t>
      </w:r>
      <w:r w:rsidR="00DD0673">
        <w:t xml:space="preserve"> or twice the </w:t>
      </w:r>
      <w:r w:rsidR="00A972A7" w:rsidRPr="00A972A7">
        <w:t xml:space="preserve">percentage </w:t>
      </w:r>
      <w:r w:rsidR="00DD0673">
        <w:t>change in national median family income.</w:t>
      </w:r>
      <w:r w:rsidR="00646891">
        <w:rPr>
          <w:rStyle w:val="FootnoteReference"/>
        </w:rPr>
        <w:footnoteReference w:id="2"/>
      </w:r>
      <w:r>
        <w:t xml:space="preserve"> </w:t>
      </w:r>
      <w:r w:rsidR="00C5684D">
        <w:t xml:space="preserve">The </w:t>
      </w:r>
      <w:r w:rsidR="00F44801">
        <w:t xml:space="preserve">list of annual caps </w:t>
      </w:r>
      <w:r w:rsidR="00F072AB">
        <w:t xml:space="preserve">on year-over-year increases </w:t>
      </w:r>
      <w:r w:rsidR="00F43CC1">
        <w:t xml:space="preserve">since HUD instituted </w:t>
      </w:r>
      <w:r w:rsidR="00F072AB">
        <w:t>this policy is as follows:</w:t>
      </w:r>
      <w:r w:rsidR="00721E37">
        <w:rPr>
          <w:rStyle w:val="FootnoteReference"/>
        </w:rPr>
        <w:footnoteReference w:id="3"/>
      </w:r>
      <w:r w:rsidR="00F072AB">
        <w:t xml:space="preserve"> </w:t>
      </w:r>
    </w:p>
    <w:tbl>
      <w:tblPr>
        <w:tblStyle w:val="TableGrid"/>
        <w:tblW w:w="0" w:type="auto"/>
        <w:tblInd w:w="1050" w:type="dxa"/>
        <w:tblLook w:val="04A0" w:firstRow="1" w:lastRow="0" w:firstColumn="1" w:lastColumn="0" w:noHBand="0" w:noVBand="1"/>
      </w:tblPr>
      <w:tblGrid>
        <w:gridCol w:w="1440"/>
        <w:gridCol w:w="1440"/>
      </w:tblGrid>
      <w:tr w:rsidR="00674D5B" w14:paraId="003C679B" w14:textId="77777777" w:rsidTr="00526542">
        <w:tc>
          <w:tcPr>
            <w:tcW w:w="1440" w:type="dxa"/>
          </w:tcPr>
          <w:p w14:paraId="460FBF70" w14:textId="63B44377" w:rsidR="00674D5B" w:rsidRDefault="00EC1632" w:rsidP="00674D5B">
            <w:r>
              <w:t>Year</w:t>
            </w:r>
          </w:p>
        </w:tc>
        <w:tc>
          <w:tcPr>
            <w:tcW w:w="1440" w:type="dxa"/>
          </w:tcPr>
          <w:p w14:paraId="65301256" w14:textId="49282504" w:rsidR="00674D5B" w:rsidRDefault="00EC1632" w:rsidP="00674D5B">
            <w:r>
              <w:t>Cap</w:t>
            </w:r>
          </w:p>
        </w:tc>
      </w:tr>
      <w:tr w:rsidR="00C432C8" w14:paraId="18920D66" w14:textId="77777777" w:rsidTr="00526542">
        <w:tc>
          <w:tcPr>
            <w:tcW w:w="1440" w:type="dxa"/>
          </w:tcPr>
          <w:p w14:paraId="285F4A2D" w14:textId="2DDD603B" w:rsidR="00C432C8" w:rsidRDefault="00C432C8" w:rsidP="00C432C8">
            <w:r>
              <w:t>FY 2010</w:t>
            </w:r>
          </w:p>
        </w:tc>
        <w:tc>
          <w:tcPr>
            <w:tcW w:w="1440" w:type="dxa"/>
            <w:vAlign w:val="bottom"/>
          </w:tcPr>
          <w:p w14:paraId="6AAD61E9" w14:textId="57BD30E3" w:rsidR="00C432C8" w:rsidRDefault="00C432C8" w:rsidP="00C432C8">
            <w:r>
              <w:rPr>
                <w:rFonts w:ascii="Calibri" w:hAnsi="Calibri" w:cs="Calibri"/>
                <w:color w:val="000000"/>
              </w:rPr>
              <w:t>5.00%</w:t>
            </w:r>
          </w:p>
        </w:tc>
      </w:tr>
      <w:tr w:rsidR="00C432C8" w14:paraId="77C9F342" w14:textId="77777777" w:rsidTr="00526542">
        <w:tc>
          <w:tcPr>
            <w:tcW w:w="1440" w:type="dxa"/>
          </w:tcPr>
          <w:p w14:paraId="3618CF28" w14:textId="634A6D41" w:rsidR="00C432C8" w:rsidRDefault="00C432C8" w:rsidP="00C432C8">
            <w:r>
              <w:t>FY 2011</w:t>
            </w:r>
          </w:p>
        </w:tc>
        <w:tc>
          <w:tcPr>
            <w:tcW w:w="1440" w:type="dxa"/>
            <w:vAlign w:val="bottom"/>
          </w:tcPr>
          <w:p w14:paraId="70D007D9" w14:textId="10095C05" w:rsidR="00C432C8" w:rsidRDefault="00C432C8" w:rsidP="00C432C8">
            <w:r>
              <w:rPr>
                <w:rFonts w:ascii="Calibri" w:hAnsi="Calibri" w:cs="Calibri"/>
                <w:color w:val="000000"/>
              </w:rPr>
              <w:t>5.00%</w:t>
            </w:r>
          </w:p>
        </w:tc>
      </w:tr>
      <w:tr w:rsidR="00C432C8" w14:paraId="28E28FAD" w14:textId="77777777" w:rsidTr="00526542">
        <w:tc>
          <w:tcPr>
            <w:tcW w:w="1440" w:type="dxa"/>
          </w:tcPr>
          <w:p w14:paraId="19862CAE" w14:textId="5BEFDF65" w:rsidR="00C432C8" w:rsidRDefault="00C432C8" w:rsidP="00C432C8">
            <w:r>
              <w:t>FY 2012</w:t>
            </w:r>
          </w:p>
        </w:tc>
        <w:tc>
          <w:tcPr>
            <w:tcW w:w="1440" w:type="dxa"/>
            <w:vAlign w:val="bottom"/>
          </w:tcPr>
          <w:p w14:paraId="4B6CD2DF" w14:textId="521BE057" w:rsidR="00C432C8" w:rsidRDefault="00C432C8" w:rsidP="00C432C8">
            <w:r>
              <w:rPr>
                <w:rFonts w:ascii="Calibri" w:hAnsi="Calibri" w:cs="Calibri"/>
                <w:color w:val="000000"/>
              </w:rPr>
              <w:t>5.00%</w:t>
            </w:r>
          </w:p>
        </w:tc>
      </w:tr>
      <w:tr w:rsidR="00C432C8" w14:paraId="3C29C817" w14:textId="77777777" w:rsidTr="00526542">
        <w:tc>
          <w:tcPr>
            <w:tcW w:w="1440" w:type="dxa"/>
          </w:tcPr>
          <w:p w14:paraId="16AEB173" w14:textId="1B4A979F" w:rsidR="00C432C8" w:rsidRDefault="00C432C8" w:rsidP="00C432C8">
            <w:r>
              <w:t>FY 2013</w:t>
            </w:r>
          </w:p>
        </w:tc>
        <w:tc>
          <w:tcPr>
            <w:tcW w:w="1440" w:type="dxa"/>
            <w:vAlign w:val="bottom"/>
          </w:tcPr>
          <w:p w14:paraId="46DA34D6" w14:textId="127A501C" w:rsidR="00C432C8" w:rsidRDefault="00C432C8" w:rsidP="00C432C8">
            <w:r>
              <w:rPr>
                <w:rFonts w:ascii="Calibri" w:hAnsi="Calibri" w:cs="Calibri"/>
                <w:color w:val="000000"/>
              </w:rPr>
              <w:t>5.00%</w:t>
            </w:r>
          </w:p>
        </w:tc>
      </w:tr>
      <w:tr w:rsidR="00C432C8" w14:paraId="772A5D3B" w14:textId="77777777" w:rsidTr="00526542">
        <w:tc>
          <w:tcPr>
            <w:tcW w:w="1440" w:type="dxa"/>
          </w:tcPr>
          <w:p w14:paraId="29EDE5BC" w14:textId="29612693" w:rsidR="00C432C8" w:rsidRDefault="00C432C8" w:rsidP="00C432C8">
            <w:r>
              <w:t>FY 2014</w:t>
            </w:r>
          </w:p>
        </w:tc>
        <w:tc>
          <w:tcPr>
            <w:tcW w:w="1440" w:type="dxa"/>
            <w:vAlign w:val="bottom"/>
          </w:tcPr>
          <w:p w14:paraId="26932CCC" w14:textId="7960083A" w:rsidR="00C432C8" w:rsidRDefault="00C432C8" w:rsidP="00C432C8">
            <w:r>
              <w:rPr>
                <w:rFonts w:ascii="Calibri" w:hAnsi="Calibri" w:cs="Calibri"/>
                <w:color w:val="000000"/>
              </w:rPr>
              <w:t>5.00%</w:t>
            </w:r>
          </w:p>
        </w:tc>
      </w:tr>
      <w:tr w:rsidR="00C432C8" w14:paraId="04E22E3A" w14:textId="77777777" w:rsidTr="00526542">
        <w:tc>
          <w:tcPr>
            <w:tcW w:w="1440" w:type="dxa"/>
          </w:tcPr>
          <w:p w14:paraId="2F479972" w14:textId="24734BA1" w:rsidR="00C432C8" w:rsidRDefault="00C432C8" w:rsidP="00C432C8">
            <w:r>
              <w:t>FY 2015</w:t>
            </w:r>
          </w:p>
        </w:tc>
        <w:tc>
          <w:tcPr>
            <w:tcW w:w="1440" w:type="dxa"/>
            <w:vAlign w:val="bottom"/>
          </w:tcPr>
          <w:p w14:paraId="68D66B60" w14:textId="742892E7" w:rsidR="00C432C8" w:rsidRDefault="00C432C8" w:rsidP="00C432C8">
            <w:r>
              <w:rPr>
                <w:rFonts w:ascii="Calibri" w:hAnsi="Calibri" w:cs="Calibri"/>
                <w:color w:val="000000"/>
              </w:rPr>
              <w:t>5.95%</w:t>
            </w:r>
          </w:p>
        </w:tc>
      </w:tr>
      <w:tr w:rsidR="00C432C8" w14:paraId="2EB52042" w14:textId="77777777" w:rsidTr="00526542">
        <w:tc>
          <w:tcPr>
            <w:tcW w:w="1440" w:type="dxa"/>
          </w:tcPr>
          <w:p w14:paraId="74140D35" w14:textId="562BD79D" w:rsidR="00C432C8" w:rsidRDefault="00C432C8" w:rsidP="00C432C8">
            <w:r>
              <w:t>FY 2016</w:t>
            </w:r>
          </w:p>
        </w:tc>
        <w:tc>
          <w:tcPr>
            <w:tcW w:w="1440" w:type="dxa"/>
            <w:vAlign w:val="bottom"/>
          </w:tcPr>
          <w:p w14:paraId="404B958D" w14:textId="53988F3E" w:rsidR="00C432C8" w:rsidRDefault="00C432C8" w:rsidP="00C432C8">
            <w:r>
              <w:rPr>
                <w:rFonts w:ascii="Calibri" w:hAnsi="Calibri" w:cs="Calibri"/>
                <w:color w:val="000000"/>
              </w:rPr>
              <w:t>5.00%</w:t>
            </w:r>
          </w:p>
        </w:tc>
      </w:tr>
      <w:tr w:rsidR="00C432C8" w14:paraId="3E888797" w14:textId="77777777" w:rsidTr="00526542">
        <w:tc>
          <w:tcPr>
            <w:tcW w:w="1440" w:type="dxa"/>
          </w:tcPr>
          <w:p w14:paraId="410E4488" w14:textId="5A8E8564" w:rsidR="00C432C8" w:rsidRDefault="00C432C8" w:rsidP="00C432C8">
            <w:r>
              <w:t>FY 2017</w:t>
            </w:r>
          </w:p>
        </w:tc>
        <w:tc>
          <w:tcPr>
            <w:tcW w:w="1440" w:type="dxa"/>
            <w:vAlign w:val="bottom"/>
          </w:tcPr>
          <w:p w14:paraId="5B67F756" w14:textId="1EBC29F2" w:rsidR="00C432C8" w:rsidRDefault="00C432C8" w:rsidP="00C432C8">
            <w:r>
              <w:rPr>
                <w:rFonts w:ascii="Calibri" w:hAnsi="Calibri" w:cs="Calibri"/>
                <w:color w:val="000000"/>
              </w:rPr>
              <w:t>7.00%</w:t>
            </w:r>
          </w:p>
        </w:tc>
      </w:tr>
      <w:tr w:rsidR="00C432C8" w14:paraId="7FADDE2F" w14:textId="77777777" w:rsidTr="00526542">
        <w:tc>
          <w:tcPr>
            <w:tcW w:w="1440" w:type="dxa"/>
          </w:tcPr>
          <w:p w14:paraId="30BE6942" w14:textId="5F6A1888" w:rsidR="00C432C8" w:rsidRDefault="00C432C8" w:rsidP="00C432C8">
            <w:r>
              <w:t>FY 2018</w:t>
            </w:r>
          </w:p>
        </w:tc>
        <w:tc>
          <w:tcPr>
            <w:tcW w:w="1440" w:type="dxa"/>
            <w:vAlign w:val="bottom"/>
          </w:tcPr>
          <w:p w14:paraId="13D8CFF0" w14:textId="33A1FC63" w:rsidR="00C432C8" w:rsidRDefault="00C432C8" w:rsidP="00C432C8">
            <w:r>
              <w:rPr>
                <w:rFonts w:ascii="Calibri" w:hAnsi="Calibri" w:cs="Calibri"/>
                <w:color w:val="000000"/>
              </w:rPr>
              <w:t>11.47%</w:t>
            </w:r>
          </w:p>
        </w:tc>
      </w:tr>
      <w:tr w:rsidR="00C432C8" w14:paraId="7FDE598F" w14:textId="77777777" w:rsidTr="00526542">
        <w:tc>
          <w:tcPr>
            <w:tcW w:w="1440" w:type="dxa"/>
          </w:tcPr>
          <w:p w14:paraId="4F97DEC4" w14:textId="2313F265" w:rsidR="00C432C8" w:rsidRDefault="00C432C8" w:rsidP="00C432C8">
            <w:r>
              <w:lastRenderedPageBreak/>
              <w:t>FY 2019</w:t>
            </w:r>
          </w:p>
        </w:tc>
        <w:tc>
          <w:tcPr>
            <w:tcW w:w="1440" w:type="dxa"/>
            <w:vAlign w:val="bottom"/>
          </w:tcPr>
          <w:p w14:paraId="1049F23A" w14:textId="685C22C7" w:rsidR="00C432C8" w:rsidRDefault="00C432C8" w:rsidP="00C432C8">
            <w:r>
              <w:rPr>
                <w:rFonts w:ascii="Calibri" w:hAnsi="Calibri" w:cs="Calibri"/>
                <w:color w:val="000000"/>
              </w:rPr>
              <w:t>10.01%</w:t>
            </w:r>
          </w:p>
        </w:tc>
      </w:tr>
      <w:tr w:rsidR="00C432C8" w14:paraId="01750B80" w14:textId="77777777" w:rsidTr="00526542">
        <w:tc>
          <w:tcPr>
            <w:tcW w:w="1440" w:type="dxa"/>
          </w:tcPr>
          <w:p w14:paraId="591F8D1F" w14:textId="6CE75FBD" w:rsidR="00C432C8" w:rsidRDefault="00C432C8" w:rsidP="00C432C8">
            <w:r>
              <w:t>FY 2020</w:t>
            </w:r>
          </w:p>
        </w:tc>
        <w:tc>
          <w:tcPr>
            <w:tcW w:w="1440" w:type="dxa"/>
            <w:vAlign w:val="bottom"/>
          </w:tcPr>
          <w:p w14:paraId="2A75BA33" w14:textId="31AF0AB4" w:rsidR="00C432C8" w:rsidRDefault="00C432C8" w:rsidP="00C432C8">
            <w:r>
              <w:rPr>
                <w:rFonts w:ascii="Calibri" w:hAnsi="Calibri" w:cs="Calibri"/>
                <w:color w:val="000000"/>
              </w:rPr>
              <w:t>7.95%</w:t>
            </w:r>
          </w:p>
        </w:tc>
      </w:tr>
      <w:tr w:rsidR="00C432C8" w14:paraId="13FC187D" w14:textId="77777777" w:rsidTr="00526542">
        <w:tc>
          <w:tcPr>
            <w:tcW w:w="1440" w:type="dxa"/>
          </w:tcPr>
          <w:p w14:paraId="3611B6DB" w14:textId="4A88D510" w:rsidR="00C432C8" w:rsidRDefault="00C432C8" w:rsidP="00C432C8">
            <w:r>
              <w:t>FY 2021</w:t>
            </w:r>
          </w:p>
        </w:tc>
        <w:tc>
          <w:tcPr>
            <w:tcW w:w="1440" w:type="dxa"/>
            <w:vAlign w:val="bottom"/>
          </w:tcPr>
          <w:p w14:paraId="60A0CD98" w14:textId="233A7023" w:rsidR="00C432C8" w:rsidRDefault="00C432C8" w:rsidP="00C432C8">
            <w:r>
              <w:rPr>
                <w:rFonts w:ascii="Calibri" w:hAnsi="Calibri" w:cs="Calibri"/>
                <w:color w:val="000000"/>
              </w:rPr>
              <w:t>5.00%</w:t>
            </w:r>
          </w:p>
        </w:tc>
      </w:tr>
      <w:tr w:rsidR="00C432C8" w14:paraId="1CB3B9AB" w14:textId="77777777" w:rsidTr="00526542">
        <w:tc>
          <w:tcPr>
            <w:tcW w:w="1440" w:type="dxa"/>
          </w:tcPr>
          <w:p w14:paraId="442D8A4A" w14:textId="1BC84CA2" w:rsidR="00C432C8" w:rsidRDefault="00C432C8" w:rsidP="00C432C8">
            <w:r>
              <w:t>FY 2022</w:t>
            </w:r>
          </w:p>
        </w:tc>
        <w:tc>
          <w:tcPr>
            <w:tcW w:w="1440" w:type="dxa"/>
            <w:vAlign w:val="bottom"/>
          </w:tcPr>
          <w:p w14:paraId="221F0FF4" w14:textId="13ECB2E7" w:rsidR="00C432C8" w:rsidRDefault="00C432C8" w:rsidP="00C432C8">
            <w:r>
              <w:rPr>
                <w:rFonts w:ascii="Calibri" w:hAnsi="Calibri" w:cs="Calibri"/>
                <w:color w:val="000000"/>
              </w:rPr>
              <w:t>11.89%</w:t>
            </w:r>
          </w:p>
        </w:tc>
      </w:tr>
      <w:tr w:rsidR="00C432C8" w14:paraId="35C1C964" w14:textId="77777777" w:rsidTr="00526542">
        <w:tc>
          <w:tcPr>
            <w:tcW w:w="1440" w:type="dxa"/>
          </w:tcPr>
          <w:p w14:paraId="66E0B2F0" w14:textId="37374424" w:rsidR="00C432C8" w:rsidRDefault="00C432C8" w:rsidP="00C432C8">
            <w:r>
              <w:t>FY 2023</w:t>
            </w:r>
          </w:p>
        </w:tc>
        <w:tc>
          <w:tcPr>
            <w:tcW w:w="1440" w:type="dxa"/>
            <w:vAlign w:val="bottom"/>
          </w:tcPr>
          <w:p w14:paraId="553D8FC8" w14:textId="7A9806A1" w:rsidR="00C432C8" w:rsidRDefault="00C432C8" w:rsidP="00C432C8">
            <w:r>
              <w:rPr>
                <w:rFonts w:ascii="Calibri" w:hAnsi="Calibri" w:cs="Calibri"/>
                <w:color w:val="000000"/>
              </w:rPr>
              <w:t>5.92%</w:t>
            </w:r>
          </w:p>
        </w:tc>
      </w:tr>
    </w:tbl>
    <w:p w14:paraId="509A39B0" w14:textId="77777777" w:rsidR="00526542" w:rsidRPr="00526542" w:rsidRDefault="00526542" w:rsidP="00526542">
      <w:pPr>
        <w:pStyle w:val="ListParagraph"/>
        <w:contextualSpacing w:val="0"/>
      </w:pPr>
    </w:p>
    <w:p w14:paraId="56177469" w14:textId="42AF0D33" w:rsidR="00DD0673" w:rsidRDefault="00CD7CDD" w:rsidP="00892F36">
      <w:pPr>
        <w:pStyle w:val="ListParagraph"/>
        <w:numPr>
          <w:ilvl w:val="0"/>
          <w:numId w:val="2"/>
        </w:numPr>
        <w:contextualSpacing w:val="0"/>
      </w:pPr>
      <w:r w:rsidRPr="00CD7CDD">
        <w:rPr>
          <w:b/>
          <w:bCs/>
        </w:rPr>
        <w:t>Modification to the cap.</w:t>
      </w:r>
      <w:r>
        <w:t xml:space="preserve"> </w:t>
      </w:r>
      <w:r w:rsidR="00DD0673">
        <w:t xml:space="preserve">This year, HUD is putting an additional parameter such that if </w:t>
      </w:r>
      <w:r w:rsidR="6F8C3083">
        <w:t xml:space="preserve">twice </w:t>
      </w:r>
      <w:r w:rsidR="00DD0673">
        <w:t xml:space="preserve">the change in national median income is over 10%, the cap </w:t>
      </w:r>
      <w:r w:rsidR="000858BA">
        <w:t xml:space="preserve">in that year </w:t>
      </w:r>
      <w:r w:rsidR="00DD0673">
        <w:t xml:space="preserve">can’t be greater than 10%.  </w:t>
      </w:r>
      <w:r w:rsidR="00051CB0">
        <w:t>We are calling this the “cap-on-cap</w:t>
      </w:r>
      <w:r w:rsidR="000858BA">
        <w:t>.</w:t>
      </w:r>
      <w:r w:rsidR="00051CB0">
        <w:t>”</w:t>
      </w:r>
      <w:r w:rsidR="007D121B">
        <w:t xml:space="preserve">  HUD issued a </w:t>
      </w:r>
      <w:hyperlink r:id="rId11">
        <w:r w:rsidR="007D121B" w:rsidRPr="46A2F2AB">
          <w:rPr>
            <w:rStyle w:val="Hyperlink"/>
          </w:rPr>
          <w:t>Notice</w:t>
        </w:r>
      </w:hyperlink>
      <w:r w:rsidR="006D2045">
        <w:t xml:space="preserve"> </w:t>
      </w:r>
      <w:r w:rsidR="00470620">
        <w:t xml:space="preserve">in January 2024 </w:t>
      </w:r>
      <w:r w:rsidR="006D2045">
        <w:t>seeking comment on this change</w:t>
      </w:r>
      <w:r w:rsidR="00470620">
        <w:t>,</w:t>
      </w:r>
      <w:r w:rsidR="006D2045">
        <w:t xml:space="preserve"> and after consideration of the comments has decided to move forward with the change.</w:t>
      </w:r>
      <w:r w:rsidR="31416DBC">
        <w:t xml:space="preserve"> </w:t>
      </w:r>
    </w:p>
    <w:p w14:paraId="1B54427D" w14:textId="3CCED261" w:rsidR="33EF5371" w:rsidRDefault="00BB54A2" w:rsidP="00892F36">
      <w:pPr>
        <w:ind w:left="360"/>
      </w:pPr>
      <w:r>
        <w:t>H</w:t>
      </w:r>
      <w:r w:rsidR="108B7DA1">
        <w:t xml:space="preserve">UD also conferred with the Treasury Department, which administers the LIHTC </w:t>
      </w:r>
      <w:r w:rsidR="0028264D">
        <w:t>incentive</w:t>
      </w:r>
      <w:r w:rsidR="108B7DA1">
        <w:t xml:space="preserve">, to determine how to improve </w:t>
      </w:r>
      <w:r w:rsidR="0028264D">
        <w:t xml:space="preserve">the </w:t>
      </w:r>
      <w:r w:rsidR="108B7DA1">
        <w:t xml:space="preserve">income limits </w:t>
      </w:r>
      <w:r w:rsidR="0028264D">
        <w:t xml:space="preserve">methodology </w:t>
      </w:r>
      <w:r w:rsidR="108B7DA1">
        <w:t xml:space="preserve">as applied to that </w:t>
      </w:r>
      <w:r w:rsidR="00EA126B">
        <w:t>incentive</w:t>
      </w:r>
      <w:r w:rsidR="108B7DA1">
        <w:t>.</w:t>
      </w:r>
    </w:p>
    <w:p w14:paraId="57C6AADE" w14:textId="77777777" w:rsidR="00D9738C" w:rsidRPr="00D9738C" w:rsidRDefault="00DD0673" w:rsidP="00D9738C">
      <w:pPr>
        <w:rPr>
          <w:b/>
          <w:bCs/>
          <w:sz w:val="24"/>
          <w:szCs w:val="24"/>
        </w:rPr>
      </w:pPr>
      <w:r w:rsidRPr="00D9738C">
        <w:rPr>
          <w:b/>
          <w:bCs/>
          <w:sz w:val="24"/>
          <w:szCs w:val="24"/>
        </w:rPr>
        <w:t xml:space="preserve">Why is HUD making this </w:t>
      </w:r>
      <w:r w:rsidR="00470620" w:rsidRPr="00D9738C">
        <w:rPr>
          <w:b/>
          <w:bCs/>
          <w:sz w:val="24"/>
          <w:szCs w:val="24"/>
        </w:rPr>
        <w:t xml:space="preserve">“cap-on-cap” </w:t>
      </w:r>
      <w:r w:rsidRPr="00D9738C">
        <w:rPr>
          <w:b/>
          <w:bCs/>
          <w:sz w:val="24"/>
          <w:szCs w:val="24"/>
        </w:rPr>
        <w:t xml:space="preserve">change? </w:t>
      </w:r>
    </w:p>
    <w:p w14:paraId="1D24E4EB" w14:textId="0812AB77" w:rsidR="00DD0673" w:rsidRDefault="00DD0673" w:rsidP="001D3DEB">
      <w:pPr>
        <w:ind w:left="360"/>
      </w:pPr>
      <w:r>
        <w:t xml:space="preserve">We are making this change for </w:t>
      </w:r>
      <w:r w:rsidR="161AF9B9">
        <w:t xml:space="preserve">three </w:t>
      </w:r>
      <w:r>
        <w:t>reasons:</w:t>
      </w:r>
    </w:p>
    <w:p w14:paraId="03400210" w14:textId="20A670E4" w:rsidR="00A063E0" w:rsidRDefault="00A063E0" w:rsidP="00A063E0">
      <w:pPr>
        <w:pStyle w:val="ListParagraph"/>
        <w:numPr>
          <w:ilvl w:val="0"/>
          <w:numId w:val="2"/>
        </w:numPr>
        <w:contextualSpacing w:val="0"/>
      </w:pPr>
      <w:r>
        <w:rPr>
          <w:b/>
          <w:bCs/>
        </w:rPr>
        <w:t>Tenant protection.</w:t>
      </w:r>
      <w:r>
        <w:t xml:space="preserve"> Because </w:t>
      </w:r>
      <w:r w:rsidR="00596DDC">
        <w:t>i</w:t>
      </w:r>
      <w:r>
        <w:t xml:space="preserve">ncome </w:t>
      </w:r>
      <w:r w:rsidR="00596DDC">
        <w:t xml:space="preserve">limits </w:t>
      </w:r>
      <w:r>
        <w:t xml:space="preserve">are used by landlords to set rents in the HOME </w:t>
      </w:r>
      <w:r w:rsidR="00EA126B">
        <w:t xml:space="preserve">program </w:t>
      </w:r>
      <w:r>
        <w:t xml:space="preserve">and LIHTC </w:t>
      </w:r>
      <w:r w:rsidR="00EA126B">
        <w:t>incentive</w:t>
      </w:r>
      <w:r>
        <w:t xml:space="preserve">, this </w:t>
      </w:r>
      <w:r w:rsidR="00596DDC">
        <w:t xml:space="preserve">change </w:t>
      </w:r>
      <w:r>
        <w:t xml:space="preserve">protects against </w:t>
      </w:r>
      <w:r w:rsidR="00596DDC">
        <w:t xml:space="preserve">single-year </w:t>
      </w:r>
      <w:r>
        <w:t xml:space="preserve">rent increases of more than 10 percent for affordable housing properties receiving these federal benefits. By limiting increases in income limits, HUD decreases the burden on low-income households who </w:t>
      </w:r>
      <w:r w:rsidR="005040B8">
        <w:t xml:space="preserve">otherwise would </w:t>
      </w:r>
      <w:r>
        <w:t xml:space="preserve">face </w:t>
      </w:r>
      <w:r w:rsidR="005040B8">
        <w:t xml:space="preserve">a </w:t>
      </w:r>
      <w:r>
        <w:t xml:space="preserve">large </w:t>
      </w:r>
      <w:r w:rsidR="005040B8">
        <w:t xml:space="preserve">single-year </w:t>
      </w:r>
      <w:r>
        <w:t>rent increase resulting from higher income limits.</w:t>
      </w:r>
    </w:p>
    <w:p w14:paraId="228BE767" w14:textId="2BD25BAA" w:rsidR="000A0E99" w:rsidRDefault="000A0E99" w:rsidP="00892F36">
      <w:pPr>
        <w:pStyle w:val="ListParagraph"/>
        <w:numPr>
          <w:ilvl w:val="0"/>
          <w:numId w:val="2"/>
        </w:numPr>
        <w:contextualSpacing w:val="0"/>
      </w:pPr>
      <w:r>
        <w:rPr>
          <w:b/>
          <w:bCs/>
        </w:rPr>
        <w:t>Statistical error.</w:t>
      </w:r>
      <w:r>
        <w:t xml:space="preserve"> The data used to determine income limits in some FMR areas may not have a large sample size, and thus statistical error could lead to a change in the estimated local median income that is greater than actual change. If the increase is a real increase, that would likely be captured in the following year’s data and result in a smoother increase in the income estimate over two years. It would be highly unusual to have multiple years of annual income growth over 10 percent, so for places with a cap and real income growth, HUD’s income limits would be expected to “catch up” in years with slower income growth. If the increase is due to statistical error, then we would not have raised the income limits (and potentially le</w:t>
      </w:r>
      <w:r w:rsidR="005A0F49">
        <w:t>a</w:t>
      </w:r>
      <w:r>
        <w:t xml:space="preserve">d to </w:t>
      </w:r>
      <w:r w:rsidR="00813757">
        <w:t xml:space="preserve">sharp </w:t>
      </w:r>
      <w:r>
        <w:t>rent increases) unnecessarily.</w:t>
      </w:r>
    </w:p>
    <w:p w14:paraId="74FCD066" w14:textId="6FFE338E" w:rsidR="00BC40F5" w:rsidRDefault="42D63C68" w:rsidP="00892F36">
      <w:pPr>
        <w:pStyle w:val="ListParagraph"/>
        <w:numPr>
          <w:ilvl w:val="0"/>
          <w:numId w:val="2"/>
        </w:numPr>
        <w:contextualSpacing w:val="0"/>
      </w:pPr>
      <w:r w:rsidRPr="6CB9B1A0">
        <w:rPr>
          <w:b/>
        </w:rPr>
        <w:t>Stability and certainty</w:t>
      </w:r>
      <w:r>
        <w:t xml:space="preserve">. </w:t>
      </w:r>
      <w:r w:rsidR="00BC40F5">
        <w:t>With</w:t>
      </w:r>
      <w:r w:rsidR="00BC40F5" w:rsidRPr="00BC40F5">
        <w:t xml:space="preserve"> the adoption of this methodological change, HUD</w:t>
      </w:r>
      <w:r w:rsidR="00BC40F5">
        <w:t xml:space="preserve"> also</w:t>
      </w:r>
      <w:r w:rsidR="00BC40F5" w:rsidRPr="00BC40F5">
        <w:t xml:space="preserve"> hopes to assist affordable housing development by providing some additional certainty on future maximum income limit increases and the data used to determine that limit.</w:t>
      </w:r>
      <w:r w:rsidR="004C75FE">
        <w:t xml:space="preserve"> </w:t>
      </w:r>
      <w:r w:rsidR="07716B10">
        <w:t>In response to the Notice, s</w:t>
      </w:r>
      <w:r w:rsidR="004C75FE">
        <w:t xml:space="preserve">everal commenters indicated that this certainty will be helpful </w:t>
      </w:r>
      <w:r w:rsidR="00D1439C">
        <w:t xml:space="preserve">in planning </w:t>
      </w:r>
      <w:r w:rsidR="008748AF">
        <w:t xml:space="preserve">for </w:t>
      </w:r>
      <w:r w:rsidR="007D797F">
        <w:t xml:space="preserve">the financial viability of current and </w:t>
      </w:r>
      <w:r w:rsidR="008748AF">
        <w:t>future projects.</w:t>
      </w:r>
      <w:r w:rsidR="004C75FE">
        <w:t xml:space="preserve"> </w:t>
      </w:r>
    </w:p>
    <w:p w14:paraId="3F2822E5" w14:textId="65578CDB" w:rsidR="006570BB" w:rsidRPr="006570BB" w:rsidRDefault="006570BB" w:rsidP="0043053C">
      <w:pPr>
        <w:rPr>
          <w:b/>
          <w:bCs/>
          <w:sz w:val="24"/>
          <w:szCs w:val="24"/>
        </w:rPr>
      </w:pPr>
      <w:r w:rsidRPr="006570BB">
        <w:rPr>
          <w:b/>
          <w:bCs/>
          <w:sz w:val="24"/>
          <w:szCs w:val="24"/>
        </w:rPr>
        <w:t xml:space="preserve">How many areas does the cap impact in 2024?  </w:t>
      </w:r>
    </w:p>
    <w:p w14:paraId="13265EF3" w14:textId="74FA872C" w:rsidR="006570BB" w:rsidRDefault="006570BB" w:rsidP="1B5308BE">
      <w:pPr>
        <w:ind w:left="360"/>
        <w:rPr>
          <w:rFonts w:ascii="Calibri" w:eastAsia="Calibri" w:hAnsi="Calibri" w:cs="Calibri"/>
          <w:color w:val="000000" w:themeColor="text1"/>
        </w:rPr>
      </w:pPr>
      <w:r>
        <w:lastRenderedPageBreak/>
        <w:t xml:space="preserve">In FY 2024, the cap of 10 percent </w:t>
      </w:r>
      <w:r w:rsidR="275659B8">
        <w:t>allowed increase</w:t>
      </w:r>
      <w:r>
        <w:t xml:space="preserve"> would apply to 21 percent of FMR areas.</w:t>
      </w:r>
      <w:r w:rsidRPr="38864D8B">
        <w:rPr>
          <w:rStyle w:val="FootnoteReference"/>
        </w:rPr>
        <w:footnoteReference w:id="4"/>
      </w:r>
    </w:p>
    <w:p w14:paraId="093AE121" w14:textId="76AA874D" w:rsidR="00AE375E" w:rsidRPr="00B22566" w:rsidRDefault="00BB01F4" w:rsidP="00B22566">
      <w:pPr>
        <w:rPr>
          <w:b/>
          <w:bCs/>
          <w:sz w:val="24"/>
          <w:szCs w:val="24"/>
        </w:rPr>
      </w:pPr>
      <w:r w:rsidRPr="00B22566">
        <w:rPr>
          <w:b/>
          <w:bCs/>
          <w:sz w:val="24"/>
          <w:szCs w:val="24"/>
        </w:rPr>
        <w:t>Does the “cap-on-cap” mean</w:t>
      </w:r>
      <w:r w:rsidR="00993E4F" w:rsidRPr="00B22566">
        <w:rPr>
          <w:b/>
          <w:bCs/>
          <w:sz w:val="24"/>
          <w:szCs w:val="24"/>
        </w:rPr>
        <w:t xml:space="preserve"> owners of LIHTC properties won’t have enough rent revenue to maintain their properties? </w:t>
      </w:r>
    </w:p>
    <w:p w14:paraId="0BA7D8E8" w14:textId="77FBDE1D" w:rsidR="00051CB0" w:rsidRDefault="00051CB0" w:rsidP="00282B6F">
      <w:pPr>
        <w:ind w:left="360"/>
      </w:pPr>
      <w:r>
        <w:t>No, we don’t think the new “cap on cap” will impact LIHTC owner</w:t>
      </w:r>
      <w:r w:rsidR="009A6E6C">
        <w:t>s</w:t>
      </w:r>
      <w:r>
        <w:t xml:space="preserve"> ability to operate and maintain their properties.</w:t>
      </w:r>
    </w:p>
    <w:p w14:paraId="3085E908" w14:textId="30ED73F0" w:rsidR="002B3EE5" w:rsidRDefault="00993E4F" w:rsidP="00282B6F">
      <w:pPr>
        <w:ind w:left="360"/>
      </w:pPr>
      <w:r>
        <w:t xml:space="preserve">Under current </w:t>
      </w:r>
      <w:r w:rsidR="34F3224B">
        <w:t xml:space="preserve">Treasury </w:t>
      </w:r>
      <w:r>
        <w:t xml:space="preserve">rules, LIHTC owners are not required to lower their rents when incomes in an area decrease. They are also not required to raise their rents when income limits increase, but they may. </w:t>
      </w:r>
      <w:r w:rsidDel="00051CB0">
        <w:t>W</w:t>
      </w:r>
      <w:r w:rsidR="00051CB0">
        <w:t xml:space="preserve">e recognize that landlords have experienced increased costs associated with higher labor costs, higher material costs, and higher insurance costs. HUD calculates year-to-year change on these costs as part of its </w:t>
      </w:r>
      <w:hyperlink r:id="rId12">
        <w:r w:rsidR="00051CB0" w:rsidRPr="441BE455">
          <w:rPr>
            <w:rStyle w:val="Hyperlink"/>
          </w:rPr>
          <w:t>Operating Cost Adjustment Factors</w:t>
        </w:r>
      </w:hyperlink>
      <w:r w:rsidR="00051CB0">
        <w:t xml:space="preserve"> for HUD</w:t>
      </w:r>
      <w:r w:rsidR="00E65737">
        <w:t>-a</w:t>
      </w:r>
      <w:r w:rsidR="00051CB0">
        <w:t xml:space="preserve">ssisted </w:t>
      </w:r>
      <w:r w:rsidR="00E65737">
        <w:t>housing</w:t>
      </w:r>
      <w:r w:rsidR="00051CB0">
        <w:t xml:space="preserve">. HUD estimates of </w:t>
      </w:r>
      <w:r w:rsidR="623DFFE0">
        <w:t xml:space="preserve">the combined </w:t>
      </w:r>
      <w:r w:rsidR="00051CB0">
        <w:t>increase</w:t>
      </w:r>
      <w:r w:rsidR="0A0D5D78">
        <w:t>s in</w:t>
      </w:r>
      <w:r w:rsidR="00051CB0">
        <w:t xml:space="preserve"> costs for labor, materials, and insurance in 2023 and 2024, capturing the inflationary period of 2022, never exceeded 10 percent in any state.</w:t>
      </w:r>
      <w:r w:rsidR="002B3EE5">
        <w:t xml:space="preserve">  </w:t>
      </w:r>
    </w:p>
    <w:p w14:paraId="2BD18BE6" w14:textId="282EF662" w:rsidR="00E82DD0" w:rsidRDefault="00E82DD0" w:rsidP="00E82DD0">
      <w:pPr>
        <w:ind w:left="360"/>
      </w:pPr>
      <w:r w:rsidRPr="008629A4">
        <w:t xml:space="preserve">In properties financed with </w:t>
      </w:r>
      <w:r>
        <w:t>LIHTC</w:t>
      </w:r>
      <w:r w:rsidRPr="008629A4">
        <w:t xml:space="preserve">, owners </w:t>
      </w:r>
      <w:r>
        <w:t xml:space="preserve">also </w:t>
      </w:r>
      <w:r w:rsidRPr="008629A4">
        <w:t xml:space="preserve">do not typically assume annual rent growth in excess of 10 percent. In fact, financial underwriting criteria are generally much more conservative, </w:t>
      </w:r>
      <w:r w:rsidRPr="00CB4BDA">
        <w:t xml:space="preserve">assuming rent growth in the range of 2 or 3 percent annually. </w:t>
      </w:r>
      <w:r w:rsidRPr="004009D1">
        <w:t xml:space="preserve">While we recognize that property owners are under financial pressure given recent increases in both development and operating costs, the 10 percent </w:t>
      </w:r>
      <w:r>
        <w:t xml:space="preserve">“cap on </w:t>
      </w:r>
      <w:r w:rsidRPr="004009D1">
        <w:t>cap</w:t>
      </w:r>
      <w:r>
        <w:t>”</w:t>
      </w:r>
      <w:r w:rsidRPr="004009D1">
        <w:t xml:space="preserve"> appropriately balances the economic pressure on owners with the objective</w:t>
      </w:r>
      <w:r>
        <w:t>s of reducing risk of statistical error and</w:t>
      </w:r>
      <w:r w:rsidRPr="004009D1">
        <w:t xml:space="preserve"> protecting low-income residents from untenable rent increases</w:t>
      </w:r>
      <w:r w:rsidR="000A5902">
        <w:t xml:space="preserve"> described above</w:t>
      </w:r>
      <w:r w:rsidRPr="004009D1">
        <w:t xml:space="preserve">. </w:t>
      </w:r>
    </w:p>
    <w:p w14:paraId="3A499679" w14:textId="22C8BCDA" w:rsidR="00BB01F4" w:rsidRDefault="00E82DD0" w:rsidP="00E82DD0">
      <w:pPr>
        <w:ind w:left="360"/>
      </w:pPr>
      <w:r>
        <w:t xml:space="preserve">In addition, because it is </w:t>
      </w:r>
      <w:r w:rsidR="002B3EE5">
        <w:t xml:space="preserve">highly unusual to have </w:t>
      </w:r>
      <w:r w:rsidR="002B3EE5" w:rsidRPr="00363428">
        <w:t>multiple years of annual income growth over 10 percent</w:t>
      </w:r>
      <w:r w:rsidR="0032114D" w:rsidRPr="00363428">
        <w:t>,</w:t>
      </w:r>
      <w:r w:rsidR="002B3EE5" w:rsidRPr="00363428">
        <w:t xml:space="preserve"> </w:t>
      </w:r>
      <w:r w:rsidR="00363428" w:rsidRPr="005431E3">
        <w:t xml:space="preserve">properties in jurisdictions with newly capped income limit increases could phase in rent increases over a multi-year period instead of implementing a larger increase all in one year. </w:t>
      </w:r>
      <w:r w:rsidR="002B3EE5">
        <w:t>HUD’s income limits would be expected to “catch up” in years with slower income growth</w:t>
      </w:r>
      <w:r w:rsidR="00D632EB">
        <w:t xml:space="preserve"> and allow owners to raise rents as needed to cover any higher cost to operate</w:t>
      </w:r>
      <w:r w:rsidR="002B3EE5">
        <w:t>.</w:t>
      </w:r>
    </w:p>
    <w:p w14:paraId="1E558354" w14:textId="2E4C258E" w:rsidR="00E65737" w:rsidRPr="005719EB" w:rsidRDefault="002B3EE5" w:rsidP="005719EB">
      <w:pPr>
        <w:rPr>
          <w:b/>
          <w:bCs/>
          <w:sz w:val="24"/>
          <w:szCs w:val="24"/>
        </w:rPr>
      </w:pPr>
      <w:r w:rsidRPr="005719EB">
        <w:rPr>
          <w:b/>
          <w:bCs/>
          <w:sz w:val="24"/>
          <w:szCs w:val="24"/>
        </w:rPr>
        <w:t xml:space="preserve">Does this mean the developers of LIHTC properties won’t seek credits </w:t>
      </w:r>
      <w:r w:rsidR="00E65737" w:rsidRPr="005719EB">
        <w:rPr>
          <w:b/>
          <w:bCs/>
          <w:sz w:val="24"/>
          <w:szCs w:val="24"/>
        </w:rPr>
        <w:t>or build housing</w:t>
      </w:r>
      <w:r w:rsidRPr="005719EB">
        <w:rPr>
          <w:b/>
          <w:bCs/>
          <w:sz w:val="24"/>
          <w:szCs w:val="24"/>
        </w:rPr>
        <w:t xml:space="preserve">? </w:t>
      </w:r>
    </w:p>
    <w:p w14:paraId="52B3E2B3" w14:textId="3AA61CF5" w:rsidR="0006033B" w:rsidRDefault="00E65737" w:rsidP="0063691E">
      <w:pPr>
        <w:ind w:left="360"/>
      </w:pPr>
      <w:r>
        <w:t xml:space="preserve">No, we don’t think the new “cap on cap” will impact the supply of </w:t>
      </w:r>
      <w:r w:rsidR="006078D2">
        <w:t xml:space="preserve">new </w:t>
      </w:r>
      <w:r>
        <w:t xml:space="preserve">LIHTC </w:t>
      </w:r>
      <w:r w:rsidR="00CD3DA1">
        <w:t>properties</w:t>
      </w:r>
      <w:r w:rsidR="00533857">
        <w:t xml:space="preserve"> nationally</w:t>
      </w:r>
      <w:r>
        <w:t>.</w:t>
      </w:r>
      <w:r w:rsidR="007E276B">
        <w:t xml:space="preserve"> HUD has had a cap on income limits since </w:t>
      </w:r>
      <w:r w:rsidR="008F0A14">
        <w:t>2009</w:t>
      </w:r>
      <w:r w:rsidR="007E276B">
        <w:t xml:space="preserve"> and we’ve seen no evidence that caps – even those much lower than 10 percent – have limited supply</w:t>
      </w:r>
      <w:r w:rsidR="001F63DB">
        <w:t xml:space="preserve"> nationally</w:t>
      </w:r>
      <w:r w:rsidR="007E276B">
        <w:t>.</w:t>
      </w:r>
      <w:r w:rsidR="007E3A66" w:rsidRPr="007E3A66">
        <w:t xml:space="preserve"> </w:t>
      </w:r>
      <w:r w:rsidR="0006033B">
        <w:t xml:space="preserve">Because demand for LIHTC credits is significantly larger than the current supply of credits, the </w:t>
      </w:r>
      <w:r w:rsidR="007958B6">
        <w:t xml:space="preserve">overall </w:t>
      </w:r>
      <w:r w:rsidR="0006033B">
        <w:t xml:space="preserve">supply of LIHTC properties should not be affected by a cap on the cap on </w:t>
      </w:r>
      <w:r w:rsidR="007958B6">
        <w:t xml:space="preserve">single-year </w:t>
      </w:r>
      <w:r w:rsidR="0006033B">
        <w:t>rent increases</w:t>
      </w:r>
      <w:r w:rsidR="007958B6">
        <w:t xml:space="preserve"> in a limited number of places</w:t>
      </w:r>
      <w:r w:rsidR="0006033B">
        <w:t>.</w:t>
      </w:r>
    </w:p>
    <w:p w14:paraId="07CC17D5" w14:textId="247AF986" w:rsidR="0063691E" w:rsidRDefault="537EB761" w:rsidP="0063691E">
      <w:pPr>
        <w:ind w:left="360"/>
      </w:pPr>
      <w:r>
        <w:t xml:space="preserve">In comments HUD received </w:t>
      </w:r>
      <w:r w:rsidR="008F0A14">
        <w:t>in</w:t>
      </w:r>
      <w:r w:rsidR="00716DA6">
        <w:t xml:space="preserve"> response to</w:t>
      </w:r>
      <w:r>
        <w:t xml:space="preserve"> the Notice announcing the </w:t>
      </w:r>
      <w:r w:rsidR="00716DA6">
        <w:t>methodology change</w:t>
      </w:r>
      <w:r>
        <w:t xml:space="preserve">, </w:t>
      </w:r>
      <w:r w:rsidR="00716DA6">
        <w:t xml:space="preserve">some </w:t>
      </w:r>
      <w:r>
        <w:t xml:space="preserve">advocates for the LIHTC developer community noted that new developments are the most impacted by the cap because </w:t>
      </w:r>
      <w:r w:rsidR="00716DA6">
        <w:t xml:space="preserve">developers </w:t>
      </w:r>
      <w:r>
        <w:t xml:space="preserve">would be able to build more units if they are able to charge higher rents.  </w:t>
      </w:r>
    </w:p>
    <w:p w14:paraId="60F5CD42" w14:textId="16DF362F" w:rsidR="0063691E" w:rsidRDefault="537EB761" w:rsidP="0063691E">
      <w:pPr>
        <w:ind w:left="360"/>
      </w:pPr>
      <w:r>
        <w:lastRenderedPageBreak/>
        <w:t xml:space="preserve">HUD notes that </w:t>
      </w:r>
      <w:r w:rsidR="68A8293D">
        <w:t>t</w:t>
      </w:r>
      <w:r w:rsidR="0063691E">
        <w:t>he</w:t>
      </w:r>
      <w:r w:rsidR="0063691E" w:rsidRPr="000A3E7F">
        <w:t xml:space="preserve"> cap on income limit increases is but one component of the financing and operation of LIHTC properties. The future income level will often not be known and may result in lower income limits than planned properties have assumed</w:t>
      </w:r>
      <w:r w:rsidR="00716DA6">
        <w:t>,</w:t>
      </w:r>
      <w:r w:rsidR="0063691E" w:rsidRPr="000A3E7F">
        <w:t xml:space="preserve"> regardless of the cap on income limit increases.</w:t>
      </w:r>
      <w:r w:rsidR="00961624" w:rsidRPr="00961624">
        <w:t xml:space="preserve"> </w:t>
      </w:r>
      <w:r w:rsidR="595EFCC9">
        <w:t>D</w:t>
      </w:r>
      <w:r w:rsidR="00891A54">
        <w:t xml:space="preserve">evelopers of </w:t>
      </w:r>
      <w:r w:rsidR="00891A54" w:rsidRPr="008629A4">
        <w:t xml:space="preserve">properties financed with </w:t>
      </w:r>
      <w:r w:rsidR="00891A54">
        <w:t xml:space="preserve">LIHTC </w:t>
      </w:r>
      <w:r w:rsidR="00891A54" w:rsidRPr="008629A4">
        <w:t>do not typically assume annual rent growth in excess of 10 percent</w:t>
      </w:r>
      <w:r w:rsidR="007958B6">
        <w:t>; rather, f</w:t>
      </w:r>
      <w:r w:rsidR="00891A54" w:rsidRPr="008629A4">
        <w:t xml:space="preserve">inancial underwriting criteria are much more conservative, </w:t>
      </w:r>
      <w:r w:rsidR="00891A54" w:rsidRPr="00CB4BDA">
        <w:t>assuming rent growth in the range of 2 or 3 percent annually.</w:t>
      </w:r>
      <w:r w:rsidR="00891A54">
        <w:t xml:space="preserve"> </w:t>
      </w:r>
    </w:p>
    <w:p w14:paraId="3563554E" w14:textId="0903CCF7" w:rsidR="00836A9B" w:rsidRPr="004433BA" w:rsidRDefault="0059020D" w:rsidP="0098456C">
      <w:pPr>
        <w:ind w:left="360"/>
      </w:pPr>
      <w:r>
        <w:t>In add</w:t>
      </w:r>
      <w:r w:rsidR="00D9480E">
        <w:t>i</w:t>
      </w:r>
      <w:r>
        <w:t>tion</w:t>
      </w:r>
      <w:r w:rsidR="00CB4BDA" w:rsidRPr="003F6731">
        <w:t>, properties in jurisdictions with newly capped income limit increases could phase in rent increases over a multi-year period instead of implementing a larger increase all in one year.</w:t>
      </w:r>
      <w:r w:rsidR="00CB4BDA" w:rsidRPr="00CB4BDA">
        <w:t xml:space="preserve"> </w:t>
      </w:r>
      <w:r w:rsidR="004D44D6">
        <w:t>A</w:t>
      </w:r>
      <w:r w:rsidR="002B3EE5">
        <w:t>t most, th</w:t>
      </w:r>
      <w:r w:rsidR="00CD3DA1">
        <w:t xml:space="preserve">e </w:t>
      </w:r>
      <w:r w:rsidR="002B3EE5">
        <w:t>cap</w:t>
      </w:r>
      <w:r w:rsidR="00CD3DA1">
        <w:t>ped increase</w:t>
      </w:r>
      <w:r w:rsidR="002B3EE5">
        <w:t xml:space="preserve"> on income limits </w:t>
      </w:r>
      <w:r w:rsidR="00CD3DA1">
        <w:t xml:space="preserve">would </w:t>
      </w:r>
      <w:r w:rsidR="00076DA4">
        <w:t>moderate</w:t>
      </w:r>
      <w:r w:rsidR="00CD3DA1">
        <w:t xml:space="preserve"> exceptionally </w:t>
      </w:r>
      <w:r w:rsidR="00913CCC">
        <w:t>high</w:t>
      </w:r>
      <w:r w:rsidR="002B3EE5">
        <w:t xml:space="preserve"> rent growth in </w:t>
      </w:r>
      <w:r w:rsidR="00913CCC">
        <w:t>a limited number of</w:t>
      </w:r>
      <w:r w:rsidR="002B3EE5">
        <w:t xml:space="preserve"> areas for just one-to-two years</w:t>
      </w:r>
      <w:r w:rsidR="00A71237">
        <w:t xml:space="preserve">. </w:t>
      </w:r>
      <w:r w:rsidR="0098456C" w:rsidRPr="005815DC">
        <w:t>A cap of ten percent represents a</w:t>
      </w:r>
      <w:r w:rsidR="0088512E">
        <w:t>n exceptionally</w:t>
      </w:r>
      <w:r w:rsidR="0098456C" w:rsidRPr="005815DC">
        <w:t xml:space="preserve"> high value compared to historical averages, suggesting that income limits calculated using a </w:t>
      </w:r>
      <w:r w:rsidR="0088512E">
        <w:t xml:space="preserve">10% </w:t>
      </w:r>
      <w:r w:rsidR="0098456C" w:rsidRPr="005815DC">
        <w:t>cap in one year will “catch up” in future years.</w:t>
      </w:r>
      <w:r w:rsidR="0098456C">
        <w:t xml:space="preserve"> </w:t>
      </w:r>
      <w:r w:rsidR="00836A9B">
        <w:t xml:space="preserve">For example, </w:t>
      </w:r>
      <w:r w:rsidR="00836A9B" w:rsidRPr="004433BA">
        <w:t>over 65% of all Income Limit areas</w:t>
      </w:r>
      <w:r w:rsidR="00C52DB6">
        <w:t xml:space="preserve"> that were covered by the cap in FY23</w:t>
      </w:r>
      <w:r w:rsidR="00836A9B" w:rsidRPr="004433BA">
        <w:t xml:space="preserve"> will either catch up and become uncapped in FY24 or get the full 10% capped increase that exceeds their increase in local AMFI. </w:t>
      </w:r>
    </w:p>
    <w:p w14:paraId="59498C64" w14:textId="23BA7252" w:rsidR="007610CB" w:rsidRDefault="00687E44" w:rsidP="00282B6F">
      <w:pPr>
        <w:ind w:left="360"/>
      </w:pPr>
      <w:r>
        <w:t>We think this cap-on-cap is a very reasonable limitation</w:t>
      </w:r>
      <w:r w:rsidR="00D313EC">
        <w:t>.</w:t>
      </w:r>
      <w:r w:rsidR="00BB722B">
        <w:t xml:space="preserve">  </w:t>
      </w:r>
      <w:r w:rsidR="00120BC4">
        <w:t>A</w:t>
      </w:r>
      <w:r w:rsidR="00BB722B">
        <w:t xml:space="preserve">s noted above, </w:t>
      </w:r>
      <w:r w:rsidR="00120BC4">
        <w:t xml:space="preserve">a cap has been in place for </w:t>
      </w:r>
      <w:r w:rsidR="00FB22E4">
        <w:t>fifteen years</w:t>
      </w:r>
      <w:r w:rsidR="00120BC4">
        <w:t xml:space="preserve">, </w:t>
      </w:r>
      <w:r w:rsidR="3622EF4B">
        <w:t xml:space="preserve">usually </w:t>
      </w:r>
      <w:r w:rsidR="00120BC4">
        <w:t xml:space="preserve">capping at </w:t>
      </w:r>
      <w:r w:rsidR="004A0E54">
        <w:t xml:space="preserve">significantly </w:t>
      </w:r>
      <w:r w:rsidR="00120BC4">
        <w:t>less than 10 percent, and interest in credits has still exceeded demand for credits</w:t>
      </w:r>
      <w:r w:rsidR="00064D93">
        <w:t xml:space="preserve"> </w:t>
      </w:r>
      <w:r w:rsidR="000D3F84">
        <w:t>nationally</w:t>
      </w:r>
      <w:r w:rsidR="00120BC4">
        <w:t xml:space="preserve">. </w:t>
      </w:r>
      <w:r w:rsidR="005E1F13">
        <w:t xml:space="preserve">This </w:t>
      </w:r>
      <w:r w:rsidR="00CF0326">
        <w:t>policy change has no impact on d</w:t>
      </w:r>
      <w:r w:rsidR="00120BC4">
        <w:t xml:space="preserve">evelopers </w:t>
      </w:r>
      <w:r w:rsidR="00CF0326">
        <w:t>who wish to</w:t>
      </w:r>
      <w:r w:rsidR="00120BC4">
        <w:t xml:space="preserve"> build market rate housing </w:t>
      </w:r>
      <w:r w:rsidR="00CF0326">
        <w:t>without the</w:t>
      </w:r>
      <w:r w:rsidR="00120BC4">
        <w:t xml:space="preserve"> LIHTC subsidy.</w:t>
      </w:r>
    </w:p>
    <w:p w14:paraId="5286050B" w14:textId="35E9D875" w:rsidR="00A26AA4" w:rsidRPr="005719EB" w:rsidRDefault="00A26AA4" w:rsidP="005719EB">
      <w:pPr>
        <w:rPr>
          <w:b/>
          <w:bCs/>
          <w:sz w:val="24"/>
          <w:szCs w:val="24"/>
        </w:rPr>
      </w:pPr>
      <w:r w:rsidRPr="005719EB">
        <w:rPr>
          <w:b/>
          <w:bCs/>
          <w:sz w:val="24"/>
          <w:szCs w:val="24"/>
        </w:rPr>
        <w:t>Will the “cap on cap” mean that people whose incomes are still low but rising faster tha</w:t>
      </w:r>
      <w:r w:rsidR="2676BE56" w:rsidRPr="3DFFA788">
        <w:rPr>
          <w:b/>
          <w:bCs/>
          <w:sz w:val="24"/>
          <w:szCs w:val="24"/>
        </w:rPr>
        <w:t>n</w:t>
      </w:r>
      <w:r w:rsidRPr="005719EB">
        <w:rPr>
          <w:b/>
          <w:bCs/>
          <w:sz w:val="24"/>
          <w:szCs w:val="24"/>
        </w:rPr>
        <w:t xml:space="preserve"> income limits will be ineligible for federal housing assistance? </w:t>
      </w:r>
    </w:p>
    <w:p w14:paraId="558AB098" w14:textId="65B27117" w:rsidR="004E12F2" w:rsidRDefault="00A26AA4" w:rsidP="00FF01E2">
      <w:pPr>
        <w:ind w:left="360"/>
      </w:pPr>
      <w:r>
        <w:t xml:space="preserve">This may impact a small number of potentially eligible households. Households on a fixed income are a large portion of the population in need of housing assistance. In general, a 10 percent cap on year-to-year increases exceeds any likely increase in income for households with fixed income cost of living adjustments (COLA). The largest </w:t>
      </w:r>
      <w:hyperlink r:id="rId13">
        <w:r w:rsidRPr="6CB9B1A0">
          <w:rPr>
            <w:rStyle w:val="Hyperlink"/>
          </w:rPr>
          <w:t>Social Security COLA adjustment</w:t>
        </w:r>
      </w:hyperlink>
      <w:r>
        <w:t xml:space="preserve"> in recent years was 8.7 percent in 2022. Only in 1980 and 1981 was it above 10 percent.  </w:t>
      </w:r>
    </w:p>
    <w:sectPr w:rsidR="004E12F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3F77B" w14:textId="77777777" w:rsidR="00AB1A2A" w:rsidRDefault="00AB1A2A" w:rsidP="00646891">
      <w:pPr>
        <w:spacing w:after="0" w:line="240" w:lineRule="auto"/>
      </w:pPr>
      <w:r>
        <w:separator/>
      </w:r>
    </w:p>
  </w:endnote>
  <w:endnote w:type="continuationSeparator" w:id="0">
    <w:p w14:paraId="15D4929F" w14:textId="77777777" w:rsidR="00AB1A2A" w:rsidRDefault="00AB1A2A" w:rsidP="00646891">
      <w:pPr>
        <w:spacing w:after="0" w:line="240" w:lineRule="auto"/>
      </w:pPr>
      <w:r>
        <w:continuationSeparator/>
      </w:r>
    </w:p>
  </w:endnote>
  <w:endnote w:type="continuationNotice" w:id="1">
    <w:p w14:paraId="657FFE0C" w14:textId="77777777" w:rsidR="00AB1A2A" w:rsidRDefault="00AB1A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121465"/>
      <w:docPartObj>
        <w:docPartGallery w:val="Page Numbers (Bottom of Page)"/>
        <w:docPartUnique/>
      </w:docPartObj>
    </w:sdtPr>
    <w:sdtEndPr>
      <w:rPr>
        <w:noProof/>
      </w:rPr>
    </w:sdtEndPr>
    <w:sdtContent>
      <w:p w14:paraId="3A763085" w14:textId="60B0A8D1" w:rsidR="00D24759" w:rsidRDefault="00D247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2830D4" w14:textId="77777777" w:rsidR="00D24759" w:rsidRDefault="00D24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87CE5" w14:textId="77777777" w:rsidR="00AB1A2A" w:rsidRDefault="00AB1A2A" w:rsidP="00646891">
      <w:pPr>
        <w:spacing w:after="0" w:line="240" w:lineRule="auto"/>
      </w:pPr>
      <w:r>
        <w:separator/>
      </w:r>
    </w:p>
  </w:footnote>
  <w:footnote w:type="continuationSeparator" w:id="0">
    <w:p w14:paraId="312652C8" w14:textId="77777777" w:rsidR="00AB1A2A" w:rsidRDefault="00AB1A2A" w:rsidP="00646891">
      <w:pPr>
        <w:spacing w:after="0" w:line="240" w:lineRule="auto"/>
      </w:pPr>
      <w:r>
        <w:continuationSeparator/>
      </w:r>
    </w:p>
  </w:footnote>
  <w:footnote w:type="continuationNotice" w:id="1">
    <w:p w14:paraId="613BCB2F" w14:textId="77777777" w:rsidR="00AB1A2A" w:rsidRDefault="00AB1A2A">
      <w:pPr>
        <w:spacing w:after="0" w:line="240" w:lineRule="auto"/>
      </w:pPr>
    </w:p>
  </w:footnote>
  <w:footnote w:id="2">
    <w:p w14:paraId="670543F5" w14:textId="1A2B933E" w:rsidR="00646891" w:rsidRDefault="00646891">
      <w:pPr>
        <w:pStyle w:val="FootnoteText"/>
      </w:pPr>
      <w:r>
        <w:rPr>
          <w:rStyle w:val="FootnoteReference"/>
        </w:rPr>
        <w:footnoteRef/>
      </w:r>
      <w:r>
        <w:t xml:space="preserve"> Prior to FY 2022, the change in national median family income relied on American Community Survey (ACS) year-to-year change adjusted by inflation. Beginning in FY 2022 and continuing, the year-to-year change only uses ACS change.</w:t>
      </w:r>
    </w:p>
  </w:footnote>
  <w:footnote w:id="3">
    <w:p w14:paraId="558B38E8" w14:textId="0DF51527" w:rsidR="00721E37" w:rsidRDefault="00721E37">
      <w:pPr>
        <w:pStyle w:val="FootnoteText"/>
      </w:pPr>
      <w:r>
        <w:rPr>
          <w:rStyle w:val="FootnoteReference"/>
        </w:rPr>
        <w:footnoteRef/>
      </w:r>
      <w:r>
        <w:t xml:space="preserve"> Since 2009, HUD has </w:t>
      </w:r>
      <w:r w:rsidRPr="00721E37">
        <w:t>put a “floor” on the “cap” at 5%</w:t>
      </w:r>
      <w:r>
        <w:t>. Without</w:t>
      </w:r>
      <w:r w:rsidRPr="00721E37">
        <w:t xml:space="preserve"> that floor</w:t>
      </w:r>
      <w:r>
        <w:t>,</w:t>
      </w:r>
      <w:r w:rsidRPr="00721E37">
        <w:t xml:space="preserve"> </w:t>
      </w:r>
      <w:r>
        <w:t>the 5% cap in years</w:t>
      </w:r>
      <w:r w:rsidRPr="00721E37">
        <w:t xml:space="preserve"> </w:t>
      </w:r>
      <w:r>
        <w:t xml:space="preserve">with slower income growth would’ve been significantly lower. </w:t>
      </w:r>
    </w:p>
  </w:footnote>
  <w:footnote w:id="4">
    <w:p w14:paraId="75B7E129" w14:textId="73C0527B" w:rsidR="38864D8B" w:rsidRDefault="38864D8B" w:rsidP="00E71505">
      <w:pPr>
        <w:pStyle w:val="FootnoteText"/>
        <w:rPr>
          <w:rFonts w:ascii="Calibri" w:eastAsia="Calibri" w:hAnsi="Calibri" w:cs="Calibri"/>
          <w:color w:val="000000" w:themeColor="text1"/>
        </w:rPr>
      </w:pPr>
      <w:r w:rsidRPr="38864D8B">
        <w:rPr>
          <w:rStyle w:val="FootnoteReference"/>
        </w:rPr>
        <w:footnoteRef/>
      </w:r>
      <w:r w:rsidR="1B5308BE">
        <w:t xml:space="preserve"> In areas where the very low-income limit exceeds </w:t>
      </w:r>
      <w:r w:rsidR="1B5308BE" w:rsidRPr="39627BB8">
        <w:rPr>
          <w:rFonts w:ascii="Calibri" w:eastAsia="Calibri" w:hAnsi="Calibri" w:cs="Calibri"/>
          <w:color w:val="000000" w:themeColor="text1"/>
        </w:rPr>
        <w:t xml:space="preserve">the statutory target of 50% of median </w:t>
      </w:r>
      <w:r w:rsidR="1B5308BE">
        <w:t>family</w:t>
      </w:r>
      <w:r w:rsidR="1B5308BE" w:rsidRPr="1B5308BE">
        <w:rPr>
          <w:rFonts w:ascii="Calibri" w:eastAsia="Calibri" w:hAnsi="Calibri" w:cs="Calibri"/>
          <w:color w:val="000000" w:themeColor="text1"/>
        </w:rPr>
        <w:t xml:space="preserve"> income because of adjustments we make to income limits such as the high housing cost adjustment and state non-metropolitan minimum</w:t>
      </w:r>
      <w:r w:rsidR="1B5308BE" w:rsidRPr="39627BB8">
        <w:rPr>
          <w:rFonts w:ascii="Calibri" w:eastAsia="Calibri" w:hAnsi="Calibri" w:cs="Calibri"/>
          <w:color w:val="000000" w:themeColor="text1"/>
        </w:rPr>
        <w:t xml:space="preserve">, the year-to-year cap of 10 percent increase also applies. </w:t>
      </w:r>
      <w:r w:rsidR="1B5308BE">
        <w:t>For</w:t>
      </w:r>
      <w:r w:rsidR="1B5308BE" w:rsidRPr="39627BB8">
        <w:rPr>
          <w:rFonts w:ascii="Calibri" w:eastAsia="Calibri" w:hAnsi="Calibri" w:cs="Calibri"/>
          <w:color w:val="000000" w:themeColor="text1"/>
        </w:rPr>
        <w:t xml:space="preserve"> FY 2024, over 90% of the country by population is in an area where the 4-person Very Low-Income Limit is equal to or exceeds 50% of area median family income (82% of all areas).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C015C"/>
    <w:multiLevelType w:val="hybridMultilevel"/>
    <w:tmpl w:val="AE241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E21FBD"/>
    <w:multiLevelType w:val="hybridMultilevel"/>
    <w:tmpl w:val="901AB0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3880779"/>
    <w:multiLevelType w:val="hybridMultilevel"/>
    <w:tmpl w:val="B8202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D50A23"/>
    <w:multiLevelType w:val="hybridMultilevel"/>
    <w:tmpl w:val="E43A420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BD32AA"/>
    <w:multiLevelType w:val="hybridMultilevel"/>
    <w:tmpl w:val="8D4C4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BE33CD"/>
    <w:multiLevelType w:val="hybridMultilevel"/>
    <w:tmpl w:val="1CFE9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33972797">
    <w:abstractNumId w:val="0"/>
  </w:num>
  <w:num w:numId="2" w16cid:durableId="102186727">
    <w:abstractNumId w:val="4"/>
  </w:num>
  <w:num w:numId="3" w16cid:durableId="1031540704">
    <w:abstractNumId w:val="2"/>
  </w:num>
  <w:num w:numId="4" w16cid:durableId="486825200">
    <w:abstractNumId w:val="1"/>
  </w:num>
  <w:num w:numId="5" w16cid:durableId="1320421985">
    <w:abstractNumId w:val="3"/>
  </w:num>
  <w:num w:numId="6" w16cid:durableId="649865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741BB"/>
    <w:rsid w:val="000043A7"/>
    <w:rsid w:val="0000632E"/>
    <w:rsid w:val="00010E89"/>
    <w:rsid w:val="000113D9"/>
    <w:rsid w:val="000204E3"/>
    <w:rsid w:val="00020D27"/>
    <w:rsid w:val="0003058B"/>
    <w:rsid w:val="0003318B"/>
    <w:rsid w:val="00034F10"/>
    <w:rsid w:val="00035E76"/>
    <w:rsid w:val="00037C3E"/>
    <w:rsid w:val="0004352E"/>
    <w:rsid w:val="0004693F"/>
    <w:rsid w:val="00051CB0"/>
    <w:rsid w:val="00055A83"/>
    <w:rsid w:val="0006033B"/>
    <w:rsid w:val="00063BA4"/>
    <w:rsid w:val="00064D93"/>
    <w:rsid w:val="00066D01"/>
    <w:rsid w:val="00070A45"/>
    <w:rsid w:val="00075C27"/>
    <w:rsid w:val="00076978"/>
    <w:rsid w:val="00076DA4"/>
    <w:rsid w:val="00082839"/>
    <w:rsid w:val="000858BA"/>
    <w:rsid w:val="00085CF3"/>
    <w:rsid w:val="00092420"/>
    <w:rsid w:val="000941C1"/>
    <w:rsid w:val="0009545A"/>
    <w:rsid w:val="000A0E99"/>
    <w:rsid w:val="000A1C30"/>
    <w:rsid w:val="000A5902"/>
    <w:rsid w:val="000B44A6"/>
    <w:rsid w:val="000B4634"/>
    <w:rsid w:val="000B765E"/>
    <w:rsid w:val="000C0631"/>
    <w:rsid w:val="000C0E06"/>
    <w:rsid w:val="000C22C4"/>
    <w:rsid w:val="000C2F13"/>
    <w:rsid w:val="000C536B"/>
    <w:rsid w:val="000D275B"/>
    <w:rsid w:val="000D353E"/>
    <w:rsid w:val="000D3F84"/>
    <w:rsid w:val="000D6B6F"/>
    <w:rsid w:val="000D7BA1"/>
    <w:rsid w:val="000E51DD"/>
    <w:rsid w:val="000F2741"/>
    <w:rsid w:val="000F4388"/>
    <w:rsid w:val="000F6248"/>
    <w:rsid w:val="00102022"/>
    <w:rsid w:val="00111CCD"/>
    <w:rsid w:val="00116EB7"/>
    <w:rsid w:val="00120BC4"/>
    <w:rsid w:val="001238C3"/>
    <w:rsid w:val="00130DDA"/>
    <w:rsid w:val="00131A54"/>
    <w:rsid w:val="00134A23"/>
    <w:rsid w:val="001433EB"/>
    <w:rsid w:val="001449A5"/>
    <w:rsid w:val="0015189E"/>
    <w:rsid w:val="00160208"/>
    <w:rsid w:val="001617FB"/>
    <w:rsid w:val="001704BA"/>
    <w:rsid w:val="001719E0"/>
    <w:rsid w:val="00174F24"/>
    <w:rsid w:val="00185F6B"/>
    <w:rsid w:val="00186421"/>
    <w:rsid w:val="0018657F"/>
    <w:rsid w:val="00186C60"/>
    <w:rsid w:val="00195C2F"/>
    <w:rsid w:val="001B0642"/>
    <w:rsid w:val="001B31BD"/>
    <w:rsid w:val="001B3CF0"/>
    <w:rsid w:val="001B54B8"/>
    <w:rsid w:val="001D1860"/>
    <w:rsid w:val="001D2835"/>
    <w:rsid w:val="001D3DEB"/>
    <w:rsid w:val="001D4929"/>
    <w:rsid w:val="001E0CAF"/>
    <w:rsid w:val="001E175B"/>
    <w:rsid w:val="001E5701"/>
    <w:rsid w:val="001E59C7"/>
    <w:rsid w:val="001E6B35"/>
    <w:rsid w:val="001F413A"/>
    <w:rsid w:val="001F63DB"/>
    <w:rsid w:val="00202900"/>
    <w:rsid w:val="00207708"/>
    <w:rsid w:val="00217873"/>
    <w:rsid w:val="00222DA1"/>
    <w:rsid w:val="00231178"/>
    <w:rsid w:val="0023212F"/>
    <w:rsid w:val="00232BED"/>
    <w:rsid w:val="00232D4C"/>
    <w:rsid w:val="00234D8F"/>
    <w:rsid w:val="002363C2"/>
    <w:rsid w:val="00236719"/>
    <w:rsid w:val="00236D1B"/>
    <w:rsid w:val="00241E24"/>
    <w:rsid w:val="00243504"/>
    <w:rsid w:val="00251418"/>
    <w:rsid w:val="002567FE"/>
    <w:rsid w:val="00257D64"/>
    <w:rsid w:val="00260073"/>
    <w:rsid w:val="002612B3"/>
    <w:rsid w:val="00263D5C"/>
    <w:rsid w:val="00264653"/>
    <w:rsid w:val="0027252B"/>
    <w:rsid w:val="00276B53"/>
    <w:rsid w:val="00277EEB"/>
    <w:rsid w:val="0028235F"/>
    <w:rsid w:val="0028264D"/>
    <w:rsid w:val="00282B6F"/>
    <w:rsid w:val="002866E6"/>
    <w:rsid w:val="00297E14"/>
    <w:rsid w:val="002A4C03"/>
    <w:rsid w:val="002A5CDB"/>
    <w:rsid w:val="002A6EE1"/>
    <w:rsid w:val="002B2F91"/>
    <w:rsid w:val="002B3700"/>
    <w:rsid w:val="002B3EE5"/>
    <w:rsid w:val="002B43B4"/>
    <w:rsid w:val="002C54E8"/>
    <w:rsid w:val="002E3763"/>
    <w:rsid w:val="002F7692"/>
    <w:rsid w:val="00306621"/>
    <w:rsid w:val="0031003D"/>
    <w:rsid w:val="00313859"/>
    <w:rsid w:val="0032114D"/>
    <w:rsid w:val="00332FA5"/>
    <w:rsid w:val="00334B8A"/>
    <w:rsid w:val="00335A87"/>
    <w:rsid w:val="00344517"/>
    <w:rsid w:val="0034784C"/>
    <w:rsid w:val="00363428"/>
    <w:rsid w:val="00370AD7"/>
    <w:rsid w:val="00374123"/>
    <w:rsid w:val="0037567E"/>
    <w:rsid w:val="00385783"/>
    <w:rsid w:val="003866B8"/>
    <w:rsid w:val="00391CEB"/>
    <w:rsid w:val="003A2669"/>
    <w:rsid w:val="003B0A43"/>
    <w:rsid w:val="003C0B3E"/>
    <w:rsid w:val="003C21A1"/>
    <w:rsid w:val="003C2BB4"/>
    <w:rsid w:val="003C4D6E"/>
    <w:rsid w:val="003C505A"/>
    <w:rsid w:val="003C72EF"/>
    <w:rsid w:val="003D07EE"/>
    <w:rsid w:val="003F6731"/>
    <w:rsid w:val="0040181E"/>
    <w:rsid w:val="00405A94"/>
    <w:rsid w:val="0041528E"/>
    <w:rsid w:val="00422424"/>
    <w:rsid w:val="004250EA"/>
    <w:rsid w:val="004258DE"/>
    <w:rsid w:val="0042733D"/>
    <w:rsid w:val="0043053C"/>
    <w:rsid w:val="00436C5E"/>
    <w:rsid w:val="004433BA"/>
    <w:rsid w:val="00457AB7"/>
    <w:rsid w:val="00463550"/>
    <w:rsid w:val="00470620"/>
    <w:rsid w:val="0047171C"/>
    <w:rsid w:val="0047735F"/>
    <w:rsid w:val="004859C0"/>
    <w:rsid w:val="0048737F"/>
    <w:rsid w:val="00491F52"/>
    <w:rsid w:val="004A0E54"/>
    <w:rsid w:val="004A5C04"/>
    <w:rsid w:val="004A6CAE"/>
    <w:rsid w:val="004B29DE"/>
    <w:rsid w:val="004B38C5"/>
    <w:rsid w:val="004B4089"/>
    <w:rsid w:val="004B4499"/>
    <w:rsid w:val="004B726D"/>
    <w:rsid w:val="004C15A7"/>
    <w:rsid w:val="004C75FE"/>
    <w:rsid w:val="004D1044"/>
    <w:rsid w:val="004D44D6"/>
    <w:rsid w:val="004E12F2"/>
    <w:rsid w:val="004F4A46"/>
    <w:rsid w:val="004F5305"/>
    <w:rsid w:val="00503625"/>
    <w:rsid w:val="00503C46"/>
    <w:rsid w:val="005040B8"/>
    <w:rsid w:val="005111F7"/>
    <w:rsid w:val="0051228E"/>
    <w:rsid w:val="00515B40"/>
    <w:rsid w:val="00516C1B"/>
    <w:rsid w:val="00526542"/>
    <w:rsid w:val="0052738C"/>
    <w:rsid w:val="005300F5"/>
    <w:rsid w:val="00533857"/>
    <w:rsid w:val="00533E45"/>
    <w:rsid w:val="005340D8"/>
    <w:rsid w:val="005411A1"/>
    <w:rsid w:val="00541BCE"/>
    <w:rsid w:val="005431E3"/>
    <w:rsid w:val="00553799"/>
    <w:rsid w:val="0055442E"/>
    <w:rsid w:val="005566C2"/>
    <w:rsid w:val="00556EEE"/>
    <w:rsid w:val="00557DEB"/>
    <w:rsid w:val="0056334C"/>
    <w:rsid w:val="005719EB"/>
    <w:rsid w:val="005767D3"/>
    <w:rsid w:val="005802CC"/>
    <w:rsid w:val="005815DC"/>
    <w:rsid w:val="0058288F"/>
    <w:rsid w:val="00584A24"/>
    <w:rsid w:val="00585AE1"/>
    <w:rsid w:val="0058670A"/>
    <w:rsid w:val="0059020D"/>
    <w:rsid w:val="0059609B"/>
    <w:rsid w:val="00596853"/>
    <w:rsid w:val="00596DDC"/>
    <w:rsid w:val="005A0F49"/>
    <w:rsid w:val="005A4547"/>
    <w:rsid w:val="005C43FF"/>
    <w:rsid w:val="005C72C8"/>
    <w:rsid w:val="005D3A89"/>
    <w:rsid w:val="005D5092"/>
    <w:rsid w:val="005E1F13"/>
    <w:rsid w:val="005E1FFD"/>
    <w:rsid w:val="005F1AF5"/>
    <w:rsid w:val="005F3BFB"/>
    <w:rsid w:val="005F4C68"/>
    <w:rsid w:val="006003B2"/>
    <w:rsid w:val="00605802"/>
    <w:rsid w:val="006078D2"/>
    <w:rsid w:val="00621AE4"/>
    <w:rsid w:val="006255A4"/>
    <w:rsid w:val="006323A6"/>
    <w:rsid w:val="0063487E"/>
    <w:rsid w:val="0063691E"/>
    <w:rsid w:val="006408EF"/>
    <w:rsid w:val="006409A0"/>
    <w:rsid w:val="00646891"/>
    <w:rsid w:val="0065556D"/>
    <w:rsid w:val="006570BB"/>
    <w:rsid w:val="00657C40"/>
    <w:rsid w:val="006633DE"/>
    <w:rsid w:val="00670C69"/>
    <w:rsid w:val="00674D5B"/>
    <w:rsid w:val="0067601E"/>
    <w:rsid w:val="00683159"/>
    <w:rsid w:val="00687E44"/>
    <w:rsid w:val="00696BC1"/>
    <w:rsid w:val="006A2BA3"/>
    <w:rsid w:val="006B4EFE"/>
    <w:rsid w:val="006B679F"/>
    <w:rsid w:val="006C1C0F"/>
    <w:rsid w:val="006C3913"/>
    <w:rsid w:val="006C753E"/>
    <w:rsid w:val="006D14CC"/>
    <w:rsid w:val="006D2045"/>
    <w:rsid w:val="006D2314"/>
    <w:rsid w:val="006D4F98"/>
    <w:rsid w:val="006D654F"/>
    <w:rsid w:val="006D760D"/>
    <w:rsid w:val="006D7C1A"/>
    <w:rsid w:val="006E0311"/>
    <w:rsid w:val="006E362C"/>
    <w:rsid w:val="006F061B"/>
    <w:rsid w:val="007022C9"/>
    <w:rsid w:val="00705807"/>
    <w:rsid w:val="007058D9"/>
    <w:rsid w:val="0070754D"/>
    <w:rsid w:val="00713311"/>
    <w:rsid w:val="007138B4"/>
    <w:rsid w:val="00715436"/>
    <w:rsid w:val="00716DA6"/>
    <w:rsid w:val="00721E37"/>
    <w:rsid w:val="00724783"/>
    <w:rsid w:val="0073312D"/>
    <w:rsid w:val="00733EBA"/>
    <w:rsid w:val="007429C6"/>
    <w:rsid w:val="00751383"/>
    <w:rsid w:val="007565DB"/>
    <w:rsid w:val="007610CB"/>
    <w:rsid w:val="00761318"/>
    <w:rsid w:val="00766A66"/>
    <w:rsid w:val="00770508"/>
    <w:rsid w:val="007716BD"/>
    <w:rsid w:val="007921D4"/>
    <w:rsid w:val="00793FE7"/>
    <w:rsid w:val="007958B6"/>
    <w:rsid w:val="007A4F5D"/>
    <w:rsid w:val="007D121B"/>
    <w:rsid w:val="007D1825"/>
    <w:rsid w:val="007D797F"/>
    <w:rsid w:val="007E276B"/>
    <w:rsid w:val="007E3A66"/>
    <w:rsid w:val="007F630F"/>
    <w:rsid w:val="007F6441"/>
    <w:rsid w:val="00813757"/>
    <w:rsid w:val="00813799"/>
    <w:rsid w:val="00827E18"/>
    <w:rsid w:val="008307A5"/>
    <w:rsid w:val="0083150D"/>
    <w:rsid w:val="00832388"/>
    <w:rsid w:val="0083265E"/>
    <w:rsid w:val="00833174"/>
    <w:rsid w:val="00833D53"/>
    <w:rsid w:val="00834E3F"/>
    <w:rsid w:val="00836A9B"/>
    <w:rsid w:val="00841045"/>
    <w:rsid w:val="00842BE4"/>
    <w:rsid w:val="00844030"/>
    <w:rsid w:val="0084618C"/>
    <w:rsid w:val="008524C0"/>
    <w:rsid w:val="00853D95"/>
    <w:rsid w:val="00856469"/>
    <w:rsid w:val="00860FC3"/>
    <w:rsid w:val="008614F2"/>
    <w:rsid w:val="008620D8"/>
    <w:rsid w:val="008629A4"/>
    <w:rsid w:val="008748AF"/>
    <w:rsid w:val="00874B33"/>
    <w:rsid w:val="00882DFA"/>
    <w:rsid w:val="0088512E"/>
    <w:rsid w:val="00886F31"/>
    <w:rsid w:val="00891A54"/>
    <w:rsid w:val="00892F36"/>
    <w:rsid w:val="0089398E"/>
    <w:rsid w:val="008A19A5"/>
    <w:rsid w:val="008A1CEE"/>
    <w:rsid w:val="008A7171"/>
    <w:rsid w:val="008B07FC"/>
    <w:rsid w:val="008B3BCD"/>
    <w:rsid w:val="008B5006"/>
    <w:rsid w:val="008B6002"/>
    <w:rsid w:val="008C0B5D"/>
    <w:rsid w:val="008D149C"/>
    <w:rsid w:val="008D208A"/>
    <w:rsid w:val="008D3A09"/>
    <w:rsid w:val="008D5BE0"/>
    <w:rsid w:val="008E1EB6"/>
    <w:rsid w:val="008E3ED8"/>
    <w:rsid w:val="008F0A14"/>
    <w:rsid w:val="008F0D1B"/>
    <w:rsid w:val="008F7211"/>
    <w:rsid w:val="00901E30"/>
    <w:rsid w:val="00901F84"/>
    <w:rsid w:val="00902910"/>
    <w:rsid w:val="009052FA"/>
    <w:rsid w:val="00905E34"/>
    <w:rsid w:val="0090648F"/>
    <w:rsid w:val="00907BD5"/>
    <w:rsid w:val="00913CCC"/>
    <w:rsid w:val="0091467C"/>
    <w:rsid w:val="00920C16"/>
    <w:rsid w:val="009212E8"/>
    <w:rsid w:val="00921A8B"/>
    <w:rsid w:val="009236E6"/>
    <w:rsid w:val="00925DBA"/>
    <w:rsid w:val="00935309"/>
    <w:rsid w:val="0094222B"/>
    <w:rsid w:val="00942875"/>
    <w:rsid w:val="00951E84"/>
    <w:rsid w:val="0095464E"/>
    <w:rsid w:val="00956B21"/>
    <w:rsid w:val="00961624"/>
    <w:rsid w:val="0096353C"/>
    <w:rsid w:val="009830B0"/>
    <w:rsid w:val="0098456C"/>
    <w:rsid w:val="00993E4F"/>
    <w:rsid w:val="00997391"/>
    <w:rsid w:val="00997C3F"/>
    <w:rsid w:val="009A1F4E"/>
    <w:rsid w:val="009A280F"/>
    <w:rsid w:val="009A2C74"/>
    <w:rsid w:val="009A48A1"/>
    <w:rsid w:val="009A4BA4"/>
    <w:rsid w:val="009A5E9A"/>
    <w:rsid w:val="009A6E6C"/>
    <w:rsid w:val="009A7555"/>
    <w:rsid w:val="009B0303"/>
    <w:rsid w:val="009B0D44"/>
    <w:rsid w:val="009B1071"/>
    <w:rsid w:val="009B2404"/>
    <w:rsid w:val="009B5A4F"/>
    <w:rsid w:val="009C3188"/>
    <w:rsid w:val="009C5182"/>
    <w:rsid w:val="009C58E4"/>
    <w:rsid w:val="009C6209"/>
    <w:rsid w:val="009C65BB"/>
    <w:rsid w:val="009D01EB"/>
    <w:rsid w:val="009E23AE"/>
    <w:rsid w:val="009E4801"/>
    <w:rsid w:val="009F3D58"/>
    <w:rsid w:val="009F648B"/>
    <w:rsid w:val="00A03035"/>
    <w:rsid w:val="00A05F72"/>
    <w:rsid w:val="00A063E0"/>
    <w:rsid w:val="00A15E52"/>
    <w:rsid w:val="00A23B16"/>
    <w:rsid w:val="00A26AA4"/>
    <w:rsid w:val="00A3009C"/>
    <w:rsid w:val="00A36946"/>
    <w:rsid w:val="00A40317"/>
    <w:rsid w:val="00A462EE"/>
    <w:rsid w:val="00A479EF"/>
    <w:rsid w:val="00A55BB1"/>
    <w:rsid w:val="00A56694"/>
    <w:rsid w:val="00A60563"/>
    <w:rsid w:val="00A61329"/>
    <w:rsid w:val="00A66F28"/>
    <w:rsid w:val="00A71237"/>
    <w:rsid w:val="00A716BE"/>
    <w:rsid w:val="00A7371B"/>
    <w:rsid w:val="00A75056"/>
    <w:rsid w:val="00A754F5"/>
    <w:rsid w:val="00A847A5"/>
    <w:rsid w:val="00A94543"/>
    <w:rsid w:val="00A96180"/>
    <w:rsid w:val="00A972A7"/>
    <w:rsid w:val="00AA025A"/>
    <w:rsid w:val="00AA6EA2"/>
    <w:rsid w:val="00AA7B69"/>
    <w:rsid w:val="00AB1921"/>
    <w:rsid w:val="00AB1A2A"/>
    <w:rsid w:val="00AB30CB"/>
    <w:rsid w:val="00AB4E90"/>
    <w:rsid w:val="00AC1E0F"/>
    <w:rsid w:val="00AC5AF2"/>
    <w:rsid w:val="00AD43C6"/>
    <w:rsid w:val="00AD4863"/>
    <w:rsid w:val="00AD7035"/>
    <w:rsid w:val="00AE0F3E"/>
    <w:rsid w:val="00AE375E"/>
    <w:rsid w:val="00AE468E"/>
    <w:rsid w:val="00AF2391"/>
    <w:rsid w:val="00AF2D5D"/>
    <w:rsid w:val="00AF422C"/>
    <w:rsid w:val="00B0119B"/>
    <w:rsid w:val="00B01A29"/>
    <w:rsid w:val="00B01F18"/>
    <w:rsid w:val="00B04BD0"/>
    <w:rsid w:val="00B05D00"/>
    <w:rsid w:val="00B07214"/>
    <w:rsid w:val="00B07640"/>
    <w:rsid w:val="00B22566"/>
    <w:rsid w:val="00B2488E"/>
    <w:rsid w:val="00B258F4"/>
    <w:rsid w:val="00B30481"/>
    <w:rsid w:val="00B30BBC"/>
    <w:rsid w:val="00B322A2"/>
    <w:rsid w:val="00B36552"/>
    <w:rsid w:val="00B426FC"/>
    <w:rsid w:val="00B51AD7"/>
    <w:rsid w:val="00B5319C"/>
    <w:rsid w:val="00B64041"/>
    <w:rsid w:val="00B6420A"/>
    <w:rsid w:val="00B66E2D"/>
    <w:rsid w:val="00B67075"/>
    <w:rsid w:val="00B67AA5"/>
    <w:rsid w:val="00B709D2"/>
    <w:rsid w:val="00B74CBE"/>
    <w:rsid w:val="00B77771"/>
    <w:rsid w:val="00B90C17"/>
    <w:rsid w:val="00B915FF"/>
    <w:rsid w:val="00B93336"/>
    <w:rsid w:val="00B93340"/>
    <w:rsid w:val="00BA1B33"/>
    <w:rsid w:val="00BB01F4"/>
    <w:rsid w:val="00BB0E78"/>
    <w:rsid w:val="00BB287C"/>
    <w:rsid w:val="00BB304D"/>
    <w:rsid w:val="00BB54A2"/>
    <w:rsid w:val="00BB722B"/>
    <w:rsid w:val="00BB74BF"/>
    <w:rsid w:val="00BB7B05"/>
    <w:rsid w:val="00BC12E1"/>
    <w:rsid w:val="00BC40F5"/>
    <w:rsid w:val="00BC47A7"/>
    <w:rsid w:val="00BD17FF"/>
    <w:rsid w:val="00BE0413"/>
    <w:rsid w:val="00BE2FE2"/>
    <w:rsid w:val="00BE43E2"/>
    <w:rsid w:val="00BF0366"/>
    <w:rsid w:val="00C049C7"/>
    <w:rsid w:val="00C04B6E"/>
    <w:rsid w:val="00C10E7B"/>
    <w:rsid w:val="00C127F2"/>
    <w:rsid w:val="00C17D2D"/>
    <w:rsid w:val="00C23E8C"/>
    <w:rsid w:val="00C23EEA"/>
    <w:rsid w:val="00C24F48"/>
    <w:rsid w:val="00C25A23"/>
    <w:rsid w:val="00C30CEE"/>
    <w:rsid w:val="00C330E5"/>
    <w:rsid w:val="00C432C8"/>
    <w:rsid w:val="00C43595"/>
    <w:rsid w:val="00C45773"/>
    <w:rsid w:val="00C51EE9"/>
    <w:rsid w:val="00C52D77"/>
    <w:rsid w:val="00C52DB6"/>
    <w:rsid w:val="00C5304B"/>
    <w:rsid w:val="00C5684D"/>
    <w:rsid w:val="00C60311"/>
    <w:rsid w:val="00C64C86"/>
    <w:rsid w:val="00C70296"/>
    <w:rsid w:val="00C8387D"/>
    <w:rsid w:val="00C83DBB"/>
    <w:rsid w:val="00C9045F"/>
    <w:rsid w:val="00C90801"/>
    <w:rsid w:val="00C93D92"/>
    <w:rsid w:val="00CA6ABC"/>
    <w:rsid w:val="00CA78EB"/>
    <w:rsid w:val="00CB0356"/>
    <w:rsid w:val="00CB24E0"/>
    <w:rsid w:val="00CB4BDA"/>
    <w:rsid w:val="00CB4DCA"/>
    <w:rsid w:val="00CC1702"/>
    <w:rsid w:val="00CD3DA1"/>
    <w:rsid w:val="00CD5144"/>
    <w:rsid w:val="00CD7CDD"/>
    <w:rsid w:val="00CE2496"/>
    <w:rsid w:val="00CE25F4"/>
    <w:rsid w:val="00CE4CB0"/>
    <w:rsid w:val="00CE5895"/>
    <w:rsid w:val="00CF0326"/>
    <w:rsid w:val="00CF0692"/>
    <w:rsid w:val="00CF6D45"/>
    <w:rsid w:val="00CF739D"/>
    <w:rsid w:val="00D062D7"/>
    <w:rsid w:val="00D13EF8"/>
    <w:rsid w:val="00D1439C"/>
    <w:rsid w:val="00D21776"/>
    <w:rsid w:val="00D24759"/>
    <w:rsid w:val="00D30A73"/>
    <w:rsid w:val="00D313EC"/>
    <w:rsid w:val="00D42813"/>
    <w:rsid w:val="00D516F2"/>
    <w:rsid w:val="00D53BB0"/>
    <w:rsid w:val="00D53E20"/>
    <w:rsid w:val="00D55EDE"/>
    <w:rsid w:val="00D62468"/>
    <w:rsid w:val="00D632EB"/>
    <w:rsid w:val="00D638E8"/>
    <w:rsid w:val="00D729B6"/>
    <w:rsid w:val="00D73019"/>
    <w:rsid w:val="00D751AF"/>
    <w:rsid w:val="00D81905"/>
    <w:rsid w:val="00D84F10"/>
    <w:rsid w:val="00D85947"/>
    <w:rsid w:val="00D86DC8"/>
    <w:rsid w:val="00D87BB1"/>
    <w:rsid w:val="00D87C58"/>
    <w:rsid w:val="00D92C1C"/>
    <w:rsid w:val="00D9480E"/>
    <w:rsid w:val="00D9738C"/>
    <w:rsid w:val="00DA4C69"/>
    <w:rsid w:val="00DB3B4E"/>
    <w:rsid w:val="00DB4198"/>
    <w:rsid w:val="00DB7714"/>
    <w:rsid w:val="00DC4848"/>
    <w:rsid w:val="00DC797A"/>
    <w:rsid w:val="00DD0673"/>
    <w:rsid w:val="00DD4B20"/>
    <w:rsid w:val="00DE4487"/>
    <w:rsid w:val="00DE46AD"/>
    <w:rsid w:val="00DE4C62"/>
    <w:rsid w:val="00DF1B02"/>
    <w:rsid w:val="00DF69D4"/>
    <w:rsid w:val="00DF722B"/>
    <w:rsid w:val="00E00F86"/>
    <w:rsid w:val="00E0194B"/>
    <w:rsid w:val="00E03716"/>
    <w:rsid w:val="00E041D6"/>
    <w:rsid w:val="00E06167"/>
    <w:rsid w:val="00E17304"/>
    <w:rsid w:val="00E21507"/>
    <w:rsid w:val="00E21EA5"/>
    <w:rsid w:val="00E2393D"/>
    <w:rsid w:val="00E36372"/>
    <w:rsid w:val="00E41678"/>
    <w:rsid w:val="00E52C46"/>
    <w:rsid w:val="00E54295"/>
    <w:rsid w:val="00E56891"/>
    <w:rsid w:val="00E568F7"/>
    <w:rsid w:val="00E64AE4"/>
    <w:rsid w:val="00E652CF"/>
    <w:rsid w:val="00E65737"/>
    <w:rsid w:val="00E66D84"/>
    <w:rsid w:val="00E709FB"/>
    <w:rsid w:val="00E71505"/>
    <w:rsid w:val="00E74B36"/>
    <w:rsid w:val="00E8028E"/>
    <w:rsid w:val="00E82041"/>
    <w:rsid w:val="00E82DD0"/>
    <w:rsid w:val="00E83B8D"/>
    <w:rsid w:val="00E84565"/>
    <w:rsid w:val="00E849C7"/>
    <w:rsid w:val="00E91286"/>
    <w:rsid w:val="00E92457"/>
    <w:rsid w:val="00EA0629"/>
    <w:rsid w:val="00EA126B"/>
    <w:rsid w:val="00EB729A"/>
    <w:rsid w:val="00EC1632"/>
    <w:rsid w:val="00EC2903"/>
    <w:rsid w:val="00EC4AA7"/>
    <w:rsid w:val="00EC5A2A"/>
    <w:rsid w:val="00EC651A"/>
    <w:rsid w:val="00EC7810"/>
    <w:rsid w:val="00ED2994"/>
    <w:rsid w:val="00ED6350"/>
    <w:rsid w:val="00EE1ACA"/>
    <w:rsid w:val="00EE371B"/>
    <w:rsid w:val="00EE4E09"/>
    <w:rsid w:val="00EE7110"/>
    <w:rsid w:val="00EF43A7"/>
    <w:rsid w:val="00EF4E28"/>
    <w:rsid w:val="00EF5D43"/>
    <w:rsid w:val="00F0050B"/>
    <w:rsid w:val="00F02FEA"/>
    <w:rsid w:val="00F072AB"/>
    <w:rsid w:val="00F22094"/>
    <w:rsid w:val="00F24C48"/>
    <w:rsid w:val="00F30134"/>
    <w:rsid w:val="00F30FEA"/>
    <w:rsid w:val="00F43CC1"/>
    <w:rsid w:val="00F44801"/>
    <w:rsid w:val="00F457FA"/>
    <w:rsid w:val="00F4632B"/>
    <w:rsid w:val="00F47461"/>
    <w:rsid w:val="00F54721"/>
    <w:rsid w:val="00F57BD8"/>
    <w:rsid w:val="00F714F1"/>
    <w:rsid w:val="00F71B4D"/>
    <w:rsid w:val="00F741BB"/>
    <w:rsid w:val="00F74710"/>
    <w:rsid w:val="00F81B6B"/>
    <w:rsid w:val="00F82620"/>
    <w:rsid w:val="00F842BC"/>
    <w:rsid w:val="00F8675D"/>
    <w:rsid w:val="00F90BC1"/>
    <w:rsid w:val="00FA3086"/>
    <w:rsid w:val="00FB01C5"/>
    <w:rsid w:val="00FB22E4"/>
    <w:rsid w:val="00FB5795"/>
    <w:rsid w:val="00FB74E8"/>
    <w:rsid w:val="00FC304C"/>
    <w:rsid w:val="00FD6B1A"/>
    <w:rsid w:val="00FD7252"/>
    <w:rsid w:val="00FE32C2"/>
    <w:rsid w:val="00FE35C2"/>
    <w:rsid w:val="00FE6F0E"/>
    <w:rsid w:val="00FF01E2"/>
    <w:rsid w:val="02E97789"/>
    <w:rsid w:val="02E9AE77"/>
    <w:rsid w:val="03A91E1A"/>
    <w:rsid w:val="063914DD"/>
    <w:rsid w:val="0657F9C8"/>
    <w:rsid w:val="065F23C8"/>
    <w:rsid w:val="0713E33C"/>
    <w:rsid w:val="075FCA97"/>
    <w:rsid w:val="07716B10"/>
    <w:rsid w:val="0913C0DC"/>
    <w:rsid w:val="0A0D5D78"/>
    <w:rsid w:val="0AF553B7"/>
    <w:rsid w:val="0B7055D2"/>
    <w:rsid w:val="0CA6F693"/>
    <w:rsid w:val="0F63EC10"/>
    <w:rsid w:val="0FEB1CE8"/>
    <w:rsid w:val="108B7DA1"/>
    <w:rsid w:val="11A10C44"/>
    <w:rsid w:val="127CA2F9"/>
    <w:rsid w:val="1344F7E4"/>
    <w:rsid w:val="14ECE36B"/>
    <w:rsid w:val="15DAE849"/>
    <w:rsid w:val="15E33A76"/>
    <w:rsid w:val="161AF9B9"/>
    <w:rsid w:val="16ED31D1"/>
    <w:rsid w:val="180EEE65"/>
    <w:rsid w:val="18687084"/>
    <w:rsid w:val="1950E6B4"/>
    <w:rsid w:val="1A4BA845"/>
    <w:rsid w:val="1A6A2CC6"/>
    <w:rsid w:val="1AF2216B"/>
    <w:rsid w:val="1B5308BE"/>
    <w:rsid w:val="1C0857D4"/>
    <w:rsid w:val="1C4A5C9E"/>
    <w:rsid w:val="1D63CE49"/>
    <w:rsid w:val="1DA13610"/>
    <w:rsid w:val="20D83F5A"/>
    <w:rsid w:val="20FF8575"/>
    <w:rsid w:val="22FC0BA4"/>
    <w:rsid w:val="2362CE5F"/>
    <w:rsid w:val="25255C71"/>
    <w:rsid w:val="2676BE56"/>
    <w:rsid w:val="275659B8"/>
    <w:rsid w:val="29101E4E"/>
    <w:rsid w:val="2A4744D1"/>
    <w:rsid w:val="2A675B04"/>
    <w:rsid w:val="2E4769BE"/>
    <w:rsid w:val="2E6D7D4F"/>
    <w:rsid w:val="2E75CD1E"/>
    <w:rsid w:val="2E8FB878"/>
    <w:rsid w:val="2FF31430"/>
    <w:rsid w:val="303770A6"/>
    <w:rsid w:val="30452E0A"/>
    <w:rsid w:val="31416DBC"/>
    <w:rsid w:val="3285830B"/>
    <w:rsid w:val="32BE2173"/>
    <w:rsid w:val="32BF8334"/>
    <w:rsid w:val="33EF5371"/>
    <w:rsid w:val="34F3224B"/>
    <w:rsid w:val="35F12FC4"/>
    <w:rsid w:val="3622EF4B"/>
    <w:rsid w:val="378153DE"/>
    <w:rsid w:val="38864D8B"/>
    <w:rsid w:val="3908BA00"/>
    <w:rsid w:val="39627BB8"/>
    <w:rsid w:val="39E25846"/>
    <w:rsid w:val="3B6C8BBE"/>
    <w:rsid w:val="3DFFA788"/>
    <w:rsid w:val="3E60A66F"/>
    <w:rsid w:val="40B5E450"/>
    <w:rsid w:val="4129173D"/>
    <w:rsid w:val="41B8DD80"/>
    <w:rsid w:val="4243D3D9"/>
    <w:rsid w:val="42D63C68"/>
    <w:rsid w:val="43D13D9C"/>
    <w:rsid w:val="441BE455"/>
    <w:rsid w:val="44EF28DD"/>
    <w:rsid w:val="4507B27E"/>
    <w:rsid w:val="46A2F2AB"/>
    <w:rsid w:val="46FF444B"/>
    <w:rsid w:val="471DE03F"/>
    <w:rsid w:val="4883B9FB"/>
    <w:rsid w:val="4A095163"/>
    <w:rsid w:val="4A2598CF"/>
    <w:rsid w:val="4AA9783A"/>
    <w:rsid w:val="4ACF1AC8"/>
    <w:rsid w:val="4BFE8400"/>
    <w:rsid w:val="4C24AB0F"/>
    <w:rsid w:val="4DD008B7"/>
    <w:rsid w:val="4F3C773B"/>
    <w:rsid w:val="50BCF10E"/>
    <w:rsid w:val="521A5645"/>
    <w:rsid w:val="537EB761"/>
    <w:rsid w:val="54648D08"/>
    <w:rsid w:val="5564A2BD"/>
    <w:rsid w:val="5598FC89"/>
    <w:rsid w:val="55995FAA"/>
    <w:rsid w:val="5608DCB5"/>
    <w:rsid w:val="5610377A"/>
    <w:rsid w:val="5872ED21"/>
    <w:rsid w:val="595EFCC9"/>
    <w:rsid w:val="5B4AC240"/>
    <w:rsid w:val="5CAC7680"/>
    <w:rsid w:val="5D53BAA0"/>
    <w:rsid w:val="5DE65F52"/>
    <w:rsid w:val="613D6C49"/>
    <w:rsid w:val="623DFFE0"/>
    <w:rsid w:val="63B619C9"/>
    <w:rsid w:val="66E729FA"/>
    <w:rsid w:val="68A8293D"/>
    <w:rsid w:val="6C678813"/>
    <w:rsid w:val="6CB9B1A0"/>
    <w:rsid w:val="6F8C3083"/>
    <w:rsid w:val="6FD76C74"/>
    <w:rsid w:val="71F75C7F"/>
    <w:rsid w:val="72AFAB03"/>
    <w:rsid w:val="7384E249"/>
    <w:rsid w:val="739B1BC9"/>
    <w:rsid w:val="748F2209"/>
    <w:rsid w:val="74B4B1EE"/>
    <w:rsid w:val="756389EB"/>
    <w:rsid w:val="762DB7A1"/>
    <w:rsid w:val="769CA130"/>
    <w:rsid w:val="77281E88"/>
    <w:rsid w:val="78B34FA7"/>
    <w:rsid w:val="78D1A208"/>
    <w:rsid w:val="7AD8A427"/>
    <w:rsid w:val="7B9C785D"/>
    <w:rsid w:val="7C8212D4"/>
    <w:rsid w:val="7C82BF1F"/>
    <w:rsid w:val="7DB55441"/>
    <w:rsid w:val="7DD78F6A"/>
    <w:rsid w:val="7F6178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DC7C5"/>
  <w15:chartTrackingRefBased/>
  <w15:docId w15:val="{8AFDBB79-9B2F-4002-BFEB-4DB77B18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41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41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41B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41B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41B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41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41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41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41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1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41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41B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41B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41B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41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41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41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41BB"/>
    <w:rPr>
      <w:rFonts w:eastAsiaTheme="majorEastAsia" w:cstheme="majorBidi"/>
      <w:color w:val="272727" w:themeColor="text1" w:themeTint="D8"/>
    </w:rPr>
  </w:style>
  <w:style w:type="paragraph" w:styleId="Title">
    <w:name w:val="Title"/>
    <w:basedOn w:val="Normal"/>
    <w:next w:val="Normal"/>
    <w:link w:val="TitleChar"/>
    <w:uiPriority w:val="10"/>
    <w:qFormat/>
    <w:rsid w:val="00F741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1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41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41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41BB"/>
    <w:pPr>
      <w:spacing w:before="160"/>
      <w:jc w:val="center"/>
    </w:pPr>
    <w:rPr>
      <w:i/>
      <w:iCs/>
      <w:color w:val="404040" w:themeColor="text1" w:themeTint="BF"/>
    </w:rPr>
  </w:style>
  <w:style w:type="character" w:customStyle="1" w:styleId="QuoteChar">
    <w:name w:val="Quote Char"/>
    <w:basedOn w:val="DefaultParagraphFont"/>
    <w:link w:val="Quote"/>
    <w:uiPriority w:val="29"/>
    <w:rsid w:val="00F741BB"/>
    <w:rPr>
      <w:i/>
      <w:iCs/>
      <w:color w:val="404040" w:themeColor="text1" w:themeTint="BF"/>
    </w:rPr>
  </w:style>
  <w:style w:type="paragraph" w:styleId="ListParagraph">
    <w:name w:val="List Paragraph"/>
    <w:basedOn w:val="Normal"/>
    <w:uiPriority w:val="34"/>
    <w:qFormat/>
    <w:rsid w:val="00F741BB"/>
    <w:pPr>
      <w:ind w:left="720"/>
      <w:contextualSpacing/>
    </w:pPr>
  </w:style>
  <w:style w:type="character" w:styleId="IntenseEmphasis">
    <w:name w:val="Intense Emphasis"/>
    <w:basedOn w:val="DefaultParagraphFont"/>
    <w:uiPriority w:val="21"/>
    <w:qFormat/>
    <w:rsid w:val="00F741BB"/>
    <w:rPr>
      <w:i/>
      <w:iCs/>
      <w:color w:val="2F5496" w:themeColor="accent1" w:themeShade="BF"/>
    </w:rPr>
  </w:style>
  <w:style w:type="paragraph" w:styleId="IntenseQuote">
    <w:name w:val="Intense Quote"/>
    <w:basedOn w:val="Normal"/>
    <w:next w:val="Normal"/>
    <w:link w:val="IntenseQuoteChar"/>
    <w:uiPriority w:val="30"/>
    <w:qFormat/>
    <w:rsid w:val="00F741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41BB"/>
    <w:rPr>
      <w:i/>
      <w:iCs/>
      <w:color w:val="2F5496" w:themeColor="accent1" w:themeShade="BF"/>
    </w:rPr>
  </w:style>
  <w:style w:type="character" w:styleId="IntenseReference">
    <w:name w:val="Intense Reference"/>
    <w:basedOn w:val="DefaultParagraphFont"/>
    <w:uiPriority w:val="32"/>
    <w:qFormat/>
    <w:rsid w:val="00F741BB"/>
    <w:rPr>
      <w:b/>
      <w:bCs/>
      <w:smallCaps/>
      <w:color w:val="2F5496" w:themeColor="accent1" w:themeShade="BF"/>
      <w:spacing w:val="5"/>
    </w:rPr>
  </w:style>
  <w:style w:type="character" w:styleId="Hyperlink">
    <w:name w:val="Hyperlink"/>
    <w:basedOn w:val="DefaultParagraphFont"/>
    <w:uiPriority w:val="99"/>
    <w:unhideWhenUsed/>
    <w:rsid w:val="00993E4F"/>
    <w:rPr>
      <w:color w:val="0563C1" w:themeColor="hyperlink"/>
      <w:u w:val="single"/>
    </w:rPr>
  </w:style>
  <w:style w:type="character" w:styleId="UnresolvedMention">
    <w:name w:val="Unresolved Mention"/>
    <w:basedOn w:val="DefaultParagraphFont"/>
    <w:uiPriority w:val="99"/>
    <w:semiHidden/>
    <w:unhideWhenUsed/>
    <w:rsid w:val="00993E4F"/>
    <w:rPr>
      <w:color w:val="605E5C"/>
      <w:shd w:val="clear" w:color="auto" w:fill="E1DFDD"/>
    </w:rPr>
  </w:style>
  <w:style w:type="paragraph" w:styleId="FootnoteText">
    <w:name w:val="footnote text"/>
    <w:basedOn w:val="Normal"/>
    <w:link w:val="FootnoteTextChar"/>
    <w:uiPriority w:val="99"/>
    <w:semiHidden/>
    <w:unhideWhenUsed/>
    <w:rsid w:val="006468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6891"/>
    <w:rPr>
      <w:sz w:val="20"/>
      <w:szCs w:val="20"/>
    </w:rPr>
  </w:style>
  <w:style w:type="character" w:styleId="FootnoteReference">
    <w:name w:val="footnote reference"/>
    <w:basedOn w:val="DefaultParagraphFont"/>
    <w:uiPriority w:val="99"/>
    <w:semiHidden/>
    <w:unhideWhenUsed/>
    <w:rsid w:val="00646891"/>
    <w:rPr>
      <w:vertAlign w:val="superscript"/>
    </w:rPr>
  </w:style>
  <w:style w:type="paragraph" w:styleId="Header">
    <w:name w:val="header"/>
    <w:basedOn w:val="Normal"/>
    <w:link w:val="HeaderChar"/>
    <w:uiPriority w:val="99"/>
    <w:unhideWhenUsed/>
    <w:rsid w:val="00F54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721"/>
  </w:style>
  <w:style w:type="paragraph" w:styleId="Footer">
    <w:name w:val="footer"/>
    <w:basedOn w:val="Normal"/>
    <w:link w:val="FooterChar"/>
    <w:uiPriority w:val="99"/>
    <w:unhideWhenUsed/>
    <w:rsid w:val="00F54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721"/>
  </w:style>
  <w:style w:type="paragraph" w:styleId="Revision">
    <w:name w:val="Revision"/>
    <w:hidden/>
    <w:uiPriority w:val="99"/>
    <w:semiHidden/>
    <w:rsid w:val="00436C5E"/>
    <w:pPr>
      <w:spacing w:after="0" w:line="240" w:lineRule="auto"/>
    </w:pPr>
  </w:style>
  <w:style w:type="character" w:styleId="FollowedHyperlink">
    <w:name w:val="FollowedHyperlink"/>
    <w:basedOn w:val="DefaultParagraphFont"/>
    <w:uiPriority w:val="99"/>
    <w:semiHidden/>
    <w:unhideWhenUsed/>
    <w:rsid w:val="009B0D44"/>
    <w:rPr>
      <w:color w:val="954F72" w:themeColor="followedHyperlink"/>
      <w:u w:val="single"/>
    </w:rPr>
  </w:style>
  <w:style w:type="character" w:styleId="CommentReference">
    <w:name w:val="annotation reference"/>
    <w:basedOn w:val="DefaultParagraphFont"/>
    <w:uiPriority w:val="99"/>
    <w:semiHidden/>
    <w:unhideWhenUsed/>
    <w:rsid w:val="009B0D44"/>
    <w:rPr>
      <w:sz w:val="16"/>
      <w:szCs w:val="16"/>
    </w:rPr>
  </w:style>
  <w:style w:type="paragraph" w:styleId="CommentText">
    <w:name w:val="annotation text"/>
    <w:basedOn w:val="Normal"/>
    <w:link w:val="CommentTextChar"/>
    <w:uiPriority w:val="99"/>
    <w:unhideWhenUsed/>
    <w:rsid w:val="009B0D44"/>
    <w:pPr>
      <w:spacing w:line="240" w:lineRule="auto"/>
    </w:pPr>
    <w:rPr>
      <w:sz w:val="20"/>
      <w:szCs w:val="20"/>
    </w:rPr>
  </w:style>
  <w:style w:type="character" w:customStyle="1" w:styleId="CommentTextChar">
    <w:name w:val="Comment Text Char"/>
    <w:basedOn w:val="DefaultParagraphFont"/>
    <w:link w:val="CommentText"/>
    <w:uiPriority w:val="99"/>
    <w:rsid w:val="009B0D44"/>
    <w:rPr>
      <w:sz w:val="20"/>
      <w:szCs w:val="20"/>
    </w:rPr>
  </w:style>
  <w:style w:type="paragraph" w:styleId="CommentSubject">
    <w:name w:val="annotation subject"/>
    <w:basedOn w:val="CommentText"/>
    <w:next w:val="CommentText"/>
    <w:link w:val="CommentSubjectChar"/>
    <w:uiPriority w:val="99"/>
    <w:semiHidden/>
    <w:unhideWhenUsed/>
    <w:rsid w:val="009B0D44"/>
    <w:rPr>
      <w:b/>
      <w:bCs/>
    </w:rPr>
  </w:style>
  <w:style w:type="character" w:customStyle="1" w:styleId="CommentSubjectChar">
    <w:name w:val="Comment Subject Char"/>
    <w:basedOn w:val="CommentTextChar"/>
    <w:link w:val="CommentSubject"/>
    <w:uiPriority w:val="99"/>
    <w:semiHidden/>
    <w:rsid w:val="009B0D44"/>
    <w:rPr>
      <w:b/>
      <w:bCs/>
      <w:sz w:val="20"/>
      <w:szCs w:val="20"/>
    </w:rPr>
  </w:style>
  <w:style w:type="character" w:styleId="Mention">
    <w:name w:val="Mention"/>
    <w:basedOn w:val="DefaultParagraphFont"/>
    <w:uiPriority w:val="99"/>
    <w:unhideWhenUsed/>
    <w:rsid w:val="009B0D44"/>
    <w:rPr>
      <w:color w:val="2B579A"/>
      <w:shd w:val="clear" w:color="auto" w:fill="E1DFDD"/>
    </w:rPr>
  </w:style>
  <w:style w:type="table" w:styleId="TableGrid">
    <w:name w:val="Table Grid"/>
    <w:basedOn w:val="TableNormal"/>
    <w:uiPriority w:val="39"/>
    <w:rsid w:val="00674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06001">
      <w:bodyDiv w:val="1"/>
      <w:marLeft w:val="0"/>
      <w:marRight w:val="0"/>
      <w:marTop w:val="0"/>
      <w:marBottom w:val="0"/>
      <w:divBdr>
        <w:top w:val="none" w:sz="0" w:space="0" w:color="auto"/>
        <w:left w:val="none" w:sz="0" w:space="0" w:color="auto"/>
        <w:bottom w:val="none" w:sz="0" w:space="0" w:color="auto"/>
        <w:right w:val="none" w:sz="0" w:space="0" w:color="auto"/>
      </w:divBdr>
    </w:div>
    <w:div w:id="995500466">
      <w:bodyDiv w:val="1"/>
      <w:marLeft w:val="0"/>
      <w:marRight w:val="0"/>
      <w:marTop w:val="0"/>
      <w:marBottom w:val="0"/>
      <w:divBdr>
        <w:top w:val="none" w:sz="0" w:space="0" w:color="auto"/>
        <w:left w:val="none" w:sz="0" w:space="0" w:color="auto"/>
        <w:bottom w:val="none" w:sz="0" w:space="0" w:color="auto"/>
        <w:right w:val="none" w:sz="0" w:space="0" w:color="auto"/>
      </w:divBdr>
    </w:div>
    <w:div w:id="1318336621">
      <w:bodyDiv w:val="1"/>
      <w:marLeft w:val="0"/>
      <w:marRight w:val="0"/>
      <w:marTop w:val="0"/>
      <w:marBottom w:val="0"/>
      <w:divBdr>
        <w:top w:val="none" w:sz="0" w:space="0" w:color="auto"/>
        <w:left w:val="none" w:sz="0" w:space="0" w:color="auto"/>
        <w:bottom w:val="none" w:sz="0" w:space="0" w:color="auto"/>
        <w:right w:val="none" w:sz="0" w:space="0" w:color="auto"/>
      </w:divBdr>
    </w:div>
    <w:div w:id="1449933240">
      <w:bodyDiv w:val="1"/>
      <w:marLeft w:val="0"/>
      <w:marRight w:val="0"/>
      <w:marTop w:val="0"/>
      <w:marBottom w:val="0"/>
      <w:divBdr>
        <w:top w:val="none" w:sz="0" w:space="0" w:color="auto"/>
        <w:left w:val="none" w:sz="0" w:space="0" w:color="auto"/>
        <w:bottom w:val="none" w:sz="0" w:space="0" w:color="auto"/>
        <w:right w:val="none" w:sz="0" w:space="0" w:color="auto"/>
      </w:divBdr>
    </w:div>
    <w:div w:id="1613052158">
      <w:bodyDiv w:val="1"/>
      <w:marLeft w:val="0"/>
      <w:marRight w:val="0"/>
      <w:marTop w:val="0"/>
      <w:marBottom w:val="0"/>
      <w:divBdr>
        <w:top w:val="none" w:sz="0" w:space="0" w:color="auto"/>
        <w:left w:val="none" w:sz="0" w:space="0" w:color="auto"/>
        <w:bottom w:val="none" w:sz="0" w:space="0" w:color="auto"/>
        <w:right w:val="none" w:sz="0" w:space="0" w:color="auto"/>
      </w:divBdr>
    </w:div>
    <w:div w:id="1838690039">
      <w:bodyDiv w:val="1"/>
      <w:marLeft w:val="0"/>
      <w:marRight w:val="0"/>
      <w:marTop w:val="0"/>
      <w:marBottom w:val="0"/>
      <w:divBdr>
        <w:top w:val="none" w:sz="0" w:space="0" w:color="auto"/>
        <w:left w:val="none" w:sz="0" w:space="0" w:color="auto"/>
        <w:bottom w:val="none" w:sz="0" w:space="0" w:color="auto"/>
        <w:right w:val="none" w:sz="0" w:space="0" w:color="auto"/>
      </w:divBdr>
    </w:div>
    <w:div w:id="197239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sa.gov/oact/cola/colaseri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deralregister.gov/documents/2023/11/30/2023-26331/notice-of-certain-operating-cost-adjustment-factors-for-202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eralregister.gov/documents/2024/01/10/2024-00279/changes-to-the-methodology-used-for-calculating-section-8-income-limits-under-the-united-stat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uduser.gov/portal/datasets/mtsp.html" TargetMode="External"/><Relationship Id="rId4" Type="http://schemas.openxmlformats.org/officeDocument/2006/relationships/settings" Target="settings.xml"/><Relationship Id="rId9" Type="http://schemas.openxmlformats.org/officeDocument/2006/relationships/hyperlink" Target="https://www.huduser.gov/portal/datasets/il.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682F8-D0B2-4E83-9F8D-FE1B60088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1480</Words>
  <Characters>8439</Characters>
  <Application>Microsoft Office Word</Application>
  <DocSecurity>4</DocSecurity>
  <Lines>70</Lines>
  <Paragraphs>19</Paragraphs>
  <ScaleCrop>false</ScaleCrop>
  <Company/>
  <LinksUpToDate>false</LinksUpToDate>
  <CharactersWithSpaces>9900</CharactersWithSpaces>
  <SharedDoc>false</SharedDoc>
  <HLinks>
    <vt:vector size="30" baseType="variant">
      <vt:variant>
        <vt:i4>1310815</vt:i4>
      </vt:variant>
      <vt:variant>
        <vt:i4>12</vt:i4>
      </vt:variant>
      <vt:variant>
        <vt:i4>0</vt:i4>
      </vt:variant>
      <vt:variant>
        <vt:i4>5</vt:i4>
      </vt:variant>
      <vt:variant>
        <vt:lpwstr>https://www.ssa.gov/oact/cola/colaseries.html</vt:lpwstr>
      </vt:variant>
      <vt:variant>
        <vt:lpwstr/>
      </vt:variant>
      <vt:variant>
        <vt:i4>4849676</vt:i4>
      </vt:variant>
      <vt:variant>
        <vt:i4>9</vt:i4>
      </vt:variant>
      <vt:variant>
        <vt:i4>0</vt:i4>
      </vt:variant>
      <vt:variant>
        <vt:i4>5</vt:i4>
      </vt:variant>
      <vt:variant>
        <vt:lpwstr>https://www.federalregister.gov/documents/2023/11/30/2023-26331/notice-of-certain-operating-cost-adjustment-factors-for-2024</vt:lpwstr>
      </vt:variant>
      <vt:variant>
        <vt:lpwstr/>
      </vt:variant>
      <vt:variant>
        <vt:i4>8323180</vt:i4>
      </vt:variant>
      <vt:variant>
        <vt:i4>6</vt:i4>
      </vt:variant>
      <vt:variant>
        <vt:i4>0</vt:i4>
      </vt:variant>
      <vt:variant>
        <vt:i4>5</vt:i4>
      </vt:variant>
      <vt:variant>
        <vt:lpwstr>https://www.federalregister.gov/documents/2024/01/10/2024-00279/changes-to-the-methodology-used-for-calculating-section-8-income-limits-under-the-united-states</vt:lpwstr>
      </vt:variant>
      <vt:variant>
        <vt:lpwstr/>
      </vt:variant>
      <vt:variant>
        <vt:i4>852034</vt:i4>
      </vt:variant>
      <vt:variant>
        <vt:i4>3</vt:i4>
      </vt:variant>
      <vt:variant>
        <vt:i4>0</vt:i4>
      </vt:variant>
      <vt:variant>
        <vt:i4>5</vt:i4>
      </vt:variant>
      <vt:variant>
        <vt:lpwstr>https://www.huduser.gov/portal/datasets/mtsp.html</vt:lpwstr>
      </vt:variant>
      <vt:variant>
        <vt:lpwstr/>
      </vt:variant>
      <vt:variant>
        <vt:i4>6619189</vt:i4>
      </vt:variant>
      <vt:variant>
        <vt:i4>0</vt:i4>
      </vt:variant>
      <vt:variant>
        <vt:i4>0</vt:i4>
      </vt:variant>
      <vt:variant>
        <vt:i4>5</vt:i4>
      </vt:variant>
      <vt:variant>
        <vt:lpwstr>https://www.huduser.gov/portal/datasets/il.html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Todd M</dc:creator>
  <cp:keywords/>
  <dc:description/>
  <cp:lastModifiedBy>Bibler, Adam</cp:lastModifiedBy>
  <cp:revision>2</cp:revision>
  <dcterms:created xsi:type="dcterms:W3CDTF">2024-04-01T19:11:00Z</dcterms:created>
  <dcterms:modified xsi:type="dcterms:W3CDTF">2024-04-01T19:11:00Z</dcterms:modified>
</cp:coreProperties>
</file>